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sz w:val="36"/>
          <w:szCs w:val="36"/>
        </w:rPr>
        <w:t>国有资产监督管理实施细则</w:t>
      </w:r>
    </w:p>
    <w:p>
      <w:pPr>
        <w:autoSpaceDE w:val="0"/>
        <w:spacing w:line="360" w:lineRule="auto"/>
        <w:ind w:firstLine="602" w:firstLineChars="200"/>
        <w:rPr>
          <w:rFonts w:hint="eastAsia" w:ascii="仿宋" w:hAnsi="仿宋" w:eastAsia="仿宋"/>
          <w:b/>
          <w:bCs/>
          <w:sz w:val="30"/>
          <w:szCs w:val="30"/>
        </w:rPr>
      </w:pPr>
    </w:p>
    <w:p>
      <w:pPr>
        <w:autoSpaceDE w:val="0"/>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第一条</w:t>
      </w:r>
      <w:r>
        <w:rPr>
          <w:rFonts w:hint="eastAsia" w:ascii="仿宋_GB2312" w:hAnsi="仿宋_GB2312" w:eastAsia="仿宋_GB2312" w:cs="仿宋_GB2312"/>
          <w:sz w:val="28"/>
          <w:szCs w:val="28"/>
        </w:rPr>
        <w:t xml:space="preserve">  为规范管理学校国有资产，特制定本实施细则。</w:t>
      </w:r>
    </w:p>
    <w:p>
      <w:pPr>
        <w:widowControl/>
        <w:autoSpaceDE w:val="0"/>
        <w:spacing w:line="500" w:lineRule="exact"/>
        <w:ind w:firstLine="551" w:firstLineChars="196"/>
        <w:jc w:val="left"/>
        <w:rPr>
          <w:rFonts w:hint="eastAsia" w:ascii="仿宋_GB2312" w:hAnsi="仿宋_GB2312" w:eastAsia="仿宋_GB2312" w:cs="仿宋_GB2312"/>
          <w:kern w:val="0"/>
          <w:sz w:val="28"/>
          <w:szCs w:val="28"/>
        </w:rPr>
      </w:pPr>
      <w:r>
        <w:rPr>
          <w:rFonts w:hint="eastAsia" w:ascii="仿宋_GB2312" w:hAnsi="仿宋_GB2312" w:eastAsia="仿宋_GB2312" w:cs="仿宋_GB2312"/>
          <w:b/>
          <w:bCs/>
          <w:sz w:val="28"/>
          <w:szCs w:val="28"/>
        </w:rPr>
        <w:t>第二条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kern w:val="0"/>
          <w:sz w:val="28"/>
          <w:szCs w:val="28"/>
        </w:rPr>
        <w:t>学校按照国家有关规定，建立健全财务监督与审计监督，事前监督、事中监督与事后监督，日常监督与专项检查相结合的资产监管体系，规范国有资产的管理。</w:t>
      </w:r>
    </w:p>
    <w:p>
      <w:pPr>
        <w:widowControl/>
        <w:autoSpaceDE w:val="0"/>
        <w:spacing w:line="500" w:lineRule="exact"/>
        <w:ind w:firstLine="551" w:firstLineChars="196"/>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 xml:space="preserve">第三条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000000"/>
          <w:sz w:val="28"/>
          <w:szCs w:val="28"/>
        </w:rPr>
        <w:t>学校每年定期或不定期组织对学校二级管理单位国有资产管理及使用情况进行检查。</w:t>
      </w:r>
    </w:p>
    <w:p>
      <w:pPr>
        <w:autoSpaceDE w:val="0"/>
        <w:spacing w:line="500" w:lineRule="exact"/>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bCs/>
          <w:kern w:val="0"/>
          <w:sz w:val="28"/>
          <w:szCs w:val="28"/>
        </w:rPr>
        <w:t xml:space="preserve">第四条 </w:t>
      </w:r>
      <w:r>
        <w:rPr>
          <w:rFonts w:hint="eastAsia" w:ascii="仿宋_GB2312" w:hAnsi="仿宋_GB2312" w:eastAsia="仿宋_GB2312" w:cs="仿宋_GB2312"/>
          <w:kern w:val="0"/>
          <w:sz w:val="28"/>
          <w:szCs w:val="28"/>
        </w:rPr>
        <w:t xml:space="preserve"> 学校建立健全科学合理的国有资产监督管理责任制，定期检查和考核各岗位管理责任落实情况和资产管理情况，</w:t>
      </w:r>
      <w:r>
        <w:rPr>
          <w:rFonts w:hint="eastAsia" w:ascii="仿宋_GB2312" w:hAnsi="仿宋_GB2312" w:eastAsia="仿宋_GB2312" w:cs="仿宋_GB2312"/>
          <w:color w:val="000000"/>
          <w:sz w:val="28"/>
          <w:szCs w:val="28"/>
        </w:rPr>
        <w:t>将资产管理的责任落实到各二级学院（部）、各部门及个人。</w:t>
      </w:r>
    </w:p>
    <w:p>
      <w:pPr>
        <w:autoSpaceDE w:val="0"/>
        <w:spacing w:line="500" w:lineRule="exact"/>
        <w:ind w:firstLine="562"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
          <w:bCs/>
          <w:sz w:val="28"/>
          <w:szCs w:val="28"/>
        </w:rPr>
        <w:t xml:space="preserve">第五条  </w:t>
      </w:r>
      <w:r>
        <w:rPr>
          <w:rFonts w:hint="eastAsia" w:ascii="仿宋_GB2312" w:hAnsi="仿宋_GB2312" w:eastAsia="仿宋_GB2312" w:cs="仿宋_GB2312"/>
          <w:kern w:val="0"/>
          <w:sz w:val="28"/>
          <w:szCs w:val="28"/>
        </w:rPr>
        <w:t>各二级学院（部）、各部门及个人，都有管好用好学校国有资产的义务和责任，并依法维护其安全与完整。</w:t>
      </w:r>
    </w:p>
    <w:p>
      <w:pPr>
        <w:autoSpaceDE w:val="0"/>
        <w:spacing w:line="500" w:lineRule="exact"/>
        <w:ind w:firstLine="562"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
          <w:bCs/>
          <w:sz w:val="28"/>
          <w:szCs w:val="28"/>
        </w:rPr>
        <w:t xml:space="preserve">第六条  </w:t>
      </w:r>
      <w:r>
        <w:rPr>
          <w:rFonts w:hint="eastAsia" w:ascii="仿宋_GB2312" w:hAnsi="仿宋_GB2312" w:eastAsia="仿宋_GB2312" w:cs="仿宋_GB2312"/>
          <w:kern w:val="0"/>
          <w:sz w:val="28"/>
          <w:szCs w:val="28"/>
        </w:rPr>
        <w:t>学校各级国有资产</w:t>
      </w:r>
      <w:r>
        <w:rPr>
          <w:rFonts w:hint="eastAsia" w:ascii="仿宋_GB2312" w:hAnsi="仿宋_GB2312" w:eastAsia="仿宋_GB2312" w:cs="仿宋_GB2312"/>
          <w:color w:val="000000"/>
          <w:sz w:val="28"/>
          <w:szCs w:val="28"/>
        </w:rPr>
        <w:t>管理人员和使用人员，违反国有资产管理政策法规，造成学校国有资产严重损失的，应追究其相</w:t>
      </w:r>
      <w:r>
        <w:rPr>
          <w:rFonts w:hint="eastAsia" w:ascii="仿宋_GB2312" w:hAnsi="仿宋_GB2312" w:eastAsia="仿宋_GB2312" w:cs="仿宋_GB2312"/>
          <w:kern w:val="0"/>
          <w:sz w:val="28"/>
          <w:szCs w:val="28"/>
        </w:rPr>
        <w:t>应责任；情节严重、构成犯罪的，移送司法机关依法追究刑事责任。</w:t>
      </w:r>
    </w:p>
    <w:p>
      <w:pPr>
        <w:autoSpaceDE w:val="0"/>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第七条  </w:t>
      </w:r>
      <w:r>
        <w:rPr>
          <w:rFonts w:hint="eastAsia" w:ascii="仿宋_GB2312" w:hAnsi="仿宋_GB2312" w:eastAsia="仿宋_GB2312" w:cs="仿宋_GB2312"/>
          <w:kern w:val="0"/>
          <w:sz w:val="28"/>
          <w:szCs w:val="28"/>
        </w:rPr>
        <w:t xml:space="preserve">学校建立内部资产管理奖惩制度，对资产管理工作中成绩突出的二级学院、部门和个人给予表彰；对工作失责，造成国有资产损失的，追究其应承担的行政及经济责任，并按规定予以处理。 </w:t>
      </w:r>
    </w:p>
    <w:p>
      <w:pPr>
        <w:autoSpaceDE w:val="0"/>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第八条  </w:t>
      </w:r>
      <w:r>
        <w:rPr>
          <w:rFonts w:hint="eastAsia" w:ascii="仿宋_GB2312" w:hAnsi="仿宋_GB2312" w:eastAsia="仿宋_GB2312" w:cs="仿宋_GB2312"/>
          <w:kern w:val="0"/>
          <w:sz w:val="28"/>
          <w:szCs w:val="28"/>
        </w:rPr>
        <w:t>本实施细则由国有资产管理处负责解释。</w:t>
      </w:r>
    </w:p>
    <w:p>
      <w:pPr>
        <w:autoSpaceDE w:val="0"/>
        <w:spacing w:line="500" w:lineRule="exact"/>
        <w:ind w:firstLine="562"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
          <w:bCs/>
          <w:sz w:val="28"/>
          <w:szCs w:val="28"/>
        </w:rPr>
        <w:t xml:space="preserve">第九条  </w:t>
      </w:r>
      <w:r>
        <w:rPr>
          <w:rFonts w:hint="eastAsia" w:ascii="仿宋_GB2312" w:hAnsi="仿宋_GB2312" w:eastAsia="仿宋_GB2312" w:cs="仿宋_GB2312"/>
          <w:kern w:val="0"/>
          <w:sz w:val="28"/>
          <w:szCs w:val="28"/>
        </w:rPr>
        <w:t>本实施细则自发布之日起施行。</w:t>
      </w:r>
    </w:p>
    <w:p>
      <w:pPr>
        <w:pStyle w:val="3"/>
        <w:spacing w:before="0" w:beforeAutospacing="0" w:after="0" w:afterAutospacing="0" w:line="500" w:lineRule="exact"/>
        <w:ind w:firstLine="562" w:firstLineChars="200"/>
        <w:rPr>
          <w:rFonts w:hint="eastAsia" w:ascii="仿宋_GB2312" w:hAnsi="仿宋_GB2312" w:eastAsia="仿宋_GB2312" w:cs="仿宋_GB2312"/>
          <w:b/>
          <w:bCs/>
          <w:sz w:val="28"/>
          <w:szCs w:val="28"/>
        </w:rPr>
      </w:pPr>
    </w:p>
    <w:p>
      <w:pPr>
        <w:autoSpaceDE w:val="0"/>
        <w:spacing w:line="5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附件：台州科技职业学院国有资产使用情况检查记录</w:t>
      </w:r>
    </w:p>
    <w:p>
      <w:pPr>
        <w:rPr>
          <w:rFonts w:hint="eastAsia" w:ascii="黑体" w:hAnsi="黑体" w:eastAsia="黑体" w:cs="黑体"/>
          <w:sz w:val="28"/>
          <w:szCs w:val="28"/>
          <w:lang w:eastAsia="zh-CN"/>
        </w:rPr>
      </w:pPr>
      <w:r>
        <w:rPr>
          <w:rFonts w:hint="eastAsia" w:ascii="仿宋" w:hAnsi="仿宋" w:eastAsia="仿宋" w:cs="仿宋"/>
          <w:sz w:val="24"/>
        </w:rPr>
        <w:br w:type="page"/>
      </w:r>
      <w:r>
        <w:rPr>
          <w:rFonts w:hint="eastAsia" w:ascii="黑体" w:hAnsi="黑体" w:eastAsia="黑体" w:cs="黑体"/>
          <w:sz w:val="28"/>
          <w:szCs w:val="28"/>
        </w:rPr>
        <w:t>附件</w:t>
      </w:r>
    </w:p>
    <w:p>
      <w:pPr>
        <w:spacing w:before="156" w:beforeLines="50" w:after="156" w:afterLines="5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台州科技职业学院国有资产使用情况检查记录</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）年度</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学院（部门）：                     填表日期：          评分人：</w:t>
      </w:r>
    </w:p>
    <w:tbl>
      <w:tblPr>
        <w:tblStyle w:val="4"/>
        <w:tblW w:w="9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74"/>
        <w:gridCol w:w="4238"/>
        <w:gridCol w:w="709"/>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2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检查</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项目</w:t>
            </w:r>
          </w:p>
        </w:tc>
        <w:tc>
          <w:tcPr>
            <w:tcW w:w="17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检查内容</w:t>
            </w:r>
          </w:p>
        </w:tc>
        <w:tc>
          <w:tcPr>
            <w:tcW w:w="423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评分标准</w:t>
            </w:r>
          </w:p>
        </w:tc>
        <w:tc>
          <w:tcPr>
            <w:tcW w:w="7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标准分数</w:t>
            </w:r>
          </w:p>
        </w:tc>
        <w:tc>
          <w:tcPr>
            <w:tcW w:w="7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得分</w:t>
            </w:r>
          </w:p>
        </w:tc>
        <w:tc>
          <w:tcPr>
            <w:tcW w:w="70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12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1.设备基本信息</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（20分）</w:t>
            </w:r>
          </w:p>
        </w:tc>
        <w:tc>
          <w:tcPr>
            <w:tcW w:w="17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设备标签</w:t>
            </w:r>
          </w:p>
        </w:tc>
        <w:tc>
          <w:tcPr>
            <w:tcW w:w="423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标签张贴合理，无标签扣5分</w:t>
            </w:r>
          </w:p>
        </w:tc>
        <w:tc>
          <w:tcPr>
            <w:tcW w:w="7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709" w:type="dxa"/>
            <w:noWrap w:val="0"/>
            <w:vAlign w:val="center"/>
          </w:tcPr>
          <w:p>
            <w:pPr>
              <w:jc w:val="center"/>
              <w:rPr>
                <w:rFonts w:hint="eastAsia" w:ascii="仿宋_GB2312" w:hAnsi="仿宋_GB2312" w:eastAsia="仿宋_GB2312" w:cs="仿宋_GB2312"/>
                <w:sz w:val="24"/>
              </w:rPr>
            </w:pPr>
          </w:p>
        </w:tc>
        <w:tc>
          <w:tcPr>
            <w:tcW w:w="708"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129" w:type="dxa"/>
            <w:vMerge w:val="continue"/>
            <w:noWrap w:val="0"/>
            <w:vAlign w:val="center"/>
          </w:tcPr>
          <w:p>
            <w:pPr>
              <w:jc w:val="center"/>
              <w:rPr>
                <w:rFonts w:hint="eastAsia" w:ascii="仿宋_GB2312" w:hAnsi="仿宋_GB2312" w:eastAsia="仿宋_GB2312" w:cs="仿宋_GB2312"/>
                <w:sz w:val="24"/>
              </w:rPr>
            </w:pPr>
          </w:p>
        </w:tc>
        <w:tc>
          <w:tcPr>
            <w:tcW w:w="17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存放地点</w:t>
            </w:r>
          </w:p>
        </w:tc>
        <w:tc>
          <w:tcPr>
            <w:tcW w:w="423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实际放置地点与账相符</w:t>
            </w:r>
          </w:p>
        </w:tc>
        <w:tc>
          <w:tcPr>
            <w:tcW w:w="7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709" w:type="dxa"/>
            <w:noWrap w:val="0"/>
            <w:vAlign w:val="center"/>
          </w:tcPr>
          <w:p>
            <w:pPr>
              <w:jc w:val="center"/>
              <w:rPr>
                <w:rFonts w:hint="eastAsia" w:ascii="仿宋_GB2312" w:hAnsi="仿宋_GB2312" w:eastAsia="仿宋_GB2312" w:cs="仿宋_GB2312"/>
                <w:sz w:val="24"/>
              </w:rPr>
            </w:pPr>
          </w:p>
        </w:tc>
        <w:tc>
          <w:tcPr>
            <w:tcW w:w="708"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1129" w:type="dxa"/>
            <w:vMerge w:val="continue"/>
            <w:noWrap w:val="0"/>
            <w:vAlign w:val="center"/>
          </w:tcPr>
          <w:p>
            <w:pPr>
              <w:jc w:val="center"/>
              <w:rPr>
                <w:rFonts w:hint="eastAsia" w:ascii="仿宋_GB2312" w:hAnsi="仿宋_GB2312" w:eastAsia="仿宋_GB2312" w:cs="仿宋_GB2312"/>
                <w:sz w:val="24"/>
              </w:rPr>
            </w:pPr>
          </w:p>
        </w:tc>
        <w:tc>
          <w:tcPr>
            <w:tcW w:w="17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管理人员</w:t>
            </w:r>
          </w:p>
        </w:tc>
        <w:tc>
          <w:tcPr>
            <w:tcW w:w="423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有专职管理员或兼职管理员</w:t>
            </w:r>
          </w:p>
        </w:tc>
        <w:tc>
          <w:tcPr>
            <w:tcW w:w="7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709" w:type="dxa"/>
            <w:noWrap w:val="0"/>
            <w:vAlign w:val="center"/>
          </w:tcPr>
          <w:p>
            <w:pPr>
              <w:jc w:val="center"/>
              <w:rPr>
                <w:rFonts w:hint="eastAsia" w:ascii="仿宋_GB2312" w:hAnsi="仿宋_GB2312" w:eastAsia="仿宋_GB2312" w:cs="仿宋_GB2312"/>
                <w:sz w:val="24"/>
              </w:rPr>
            </w:pPr>
          </w:p>
        </w:tc>
        <w:tc>
          <w:tcPr>
            <w:tcW w:w="708"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129" w:type="dxa"/>
            <w:vMerge w:val="continue"/>
            <w:noWrap w:val="0"/>
            <w:vAlign w:val="center"/>
          </w:tcPr>
          <w:p>
            <w:pPr>
              <w:jc w:val="center"/>
              <w:rPr>
                <w:rFonts w:hint="eastAsia" w:ascii="仿宋_GB2312" w:hAnsi="仿宋_GB2312" w:eastAsia="仿宋_GB2312" w:cs="仿宋_GB2312"/>
                <w:sz w:val="24"/>
              </w:rPr>
            </w:pPr>
          </w:p>
        </w:tc>
        <w:tc>
          <w:tcPr>
            <w:tcW w:w="17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领用人</w:t>
            </w:r>
          </w:p>
        </w:tc>
        <w:tc>
          <w:tcPr>
            <w:tcW w:w="423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领用人信息与账相符</w:t>
            </w:r>
          </w:p>
        </w:tc>
        <w:tc>
          <w:tcPr>
            <w:tcW w:w="7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709" w:type="dxa"/>
            <w:noWrap w:val="0"/>
            <w:vAlign w:val="center"/>
          </w:tcPr>
          <w:p>
            <w:pPr>
              <w:jc w:val="center"/>
              <w:rPr>
                <w:rFonts w:hint="eastAsia" w:ascii="仿宋_GB2312" w:hAnsi="仿宋_GB2312" w:eastAsia="仿宋_GB2312" w:cs="仿宋_GB2312"/>
                <w:sz w:val="24"/>
              </w:rPr>
            </w:pPr>
          </w:p>
        </w:tc>
        <w:tc>
          <w:tcPr>
            <w:tcW w:w="708"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2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2.设备使用管理</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（30分）</w:t>
            </w:r>
          </w:p>
        </w:tc>
        <w:tc>
          <w:tcPr>
            <w:tcW w:w="17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使用状态</w:t>
            </w:r>
          </w:p>
        </w:tc>
        <w:tc>
          <w:tcPr>
            <w:tcW w:w="423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闲置、待报废扣5分，遗失扣10分</w:t>
            </w:r>
          </w:p>
        </w:tc>
        <w:tc>
          <w:tcPr>
            <w:tcW w:w="7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709" w:type="dxa"/>
            <w:noWrap w:val="0"/>
            <w:vAlign w:val="center"/>
          </w:tcPr>
          <w:p>
            <w:pPr>
              <w:jc w:val="center"/>
              <w:rPr>
                <w:rFonts w:hint="eastAsia" w:ascii="仿宋_GB2312" w:hAnsi="仿宋_GB2312" w:eastAsia="仿宋_GB2312" w:cs="仿宋_GB2312"/>
                <w:sz w:val="24"/>
              </w:rPr>
            </w:pPr>
          </w:p>
        </w:tc>
        <w:tc>
          <w:tcPr>
            <w:tcW w:w="708"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29" w:type="dxa"/>
            <w:vMerge w:val="continue"/>
            <w:noWrap w:val="0"/>
            <w:vAlign w:val="center"/>
          </w:tcPr>
          <w:p>
            <w:pPr>
              <w:jc w:val="center"/>
              <w:rPr>
                <w:rFonts w:hint="eastAsia" w:ascii="仿宋_GB2312" w:hAnsi="仿宋_GB2312" w:eastAsia="仿宋_GB2312" w:cs="仿宋_GB2312"/>
                <w:sz w:val="24"/>
              </w:rPr>
            </w:pPr>
          </w:p>
        </w:tc>
        <w:tc>
          <w:tcPr>
            <w:tcW w:w="17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巡检情况</w:t>
            </w:r>
          </w:p>
        </w:tc>
        <w:tc>
          <w:tcPr>
            <w:tcW w:w="423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有定期（月度）巡检机制，查看记录</w:t>
            </w:r>
          </w:p>
        </w:tc>
        <w:tc>
          <w:tcPr>
            <w:tcW w:w="7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709" w:type="dxa"/>
            <w:noWrap w:val="0"/>
            <w:vAlign w:val="center"/>
          </w:tcPr>
          <w:p>
            <w:pPr>
              <w:jc w:val="center"/>
              <w:rPr>
                <w:rFonts w:hint="eastAsia" w:ascii="仿宋_GB2312" w:hAnsi="仿宋_GB2312" w:eastAsia="仿宋_GB2312" w:cs="仿宋_GB2312"/>
                <w:sz w:val="24"/>
              </w:rPr>
            </w:pPr>
          </w:p>
        </w:tc>
        <w:tc>
          <w:tcPr>
            <w:tcW w:w="708"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29" w:type="dxa"/>
            <w:vMerge w:val="continue"/>
            <w:noWrap w:val="0"/>
            <w:vAlign w:val="center"/>
          </w:tcPr>
          <w:p>
            <w:pPr>
              <w:jc w:val="center"/>
              <w:rPr>
                <w:rFonts w:hint="eastAsia" w:ascii="仿宋_GB2312" w:hAnsi="仿宋_GB2312" w:eastAsia="仿宋_GB2312" w:cs="仿宋_GB2312"/>
                <w:sz w:val="24"/>
              </w:rPr>
            </w:pPr>
          </w:p>
        </w:tc>
        <w:tc>
          <w:tcPr>
            <w:tcW w:w="17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规章制度</w:t>
            </w:r>
          </w:p>
        </w:tc>
        <w:tc>
          <w:tcPr>
            <w:tcW w:w="423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管理规章制度健全、操作规程上墙等</w:t>
            </w:r>
          </w:p>
        </w:tc>
        <w:tc>
          <w:tcPr>
            <w:tcW w:w="7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709" w:type="dxa"/>
            <w:noWrap w:val="0"/>
            <w:vAlign w:val="center"/>
          </w:tcPr>
          <w:p>
            <w:pPr>
              <w:jc w:val="center"/>
              <w:rPr>
                <w:rFonts w:hint="eastAsia" w:ascii="仿宋_GB2312" w:hAnsi="仿宋_GB2312" w:eastAsia="仿宋_GB2312" w:cs="仿宋_GB2312"/>
                <w:sz w:val="24"/>
              </w:rPr>
            </w:pPr>
          </w:p>
        </w:tc>
        <w:tc>
          <w:tcPr>
            <w:tcW w:w="708"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2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3.设备安全与运行</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（30分）</w:t>
            </w:r>
          </w:p>
        </w:tc>
        <w:tc>
          <w:tcPr>
            <w:tcW w:w="17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安全隐患排查</w:t>
            </w:r>
          </w:p>
        </w:tc>
        <w:tc>
          <w:tcPr>
            <w:tcW w:w="423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有无安全隐患，有无重大责任事故</w:t>
            </w:r>
          </w:p>
        </w:tc>
        <w:tc>
          <w:tcPr>
            <w:tcW w:w="7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709" w:type="dxa"/>
            <w:noWrap w:val="0"/>
            <w:vAlign w:val="center"/>
          </w:tcPr>
          <w:p>
            <w:pPr>
              <w:jc w:val="center"/>
              <w:rPr>
                <w:rFonts w:hint="eastAsia" w:ascii="仿宋_GB2312" w:hAnsi="仿宋_GB2312" w:eastAsia="仿宋_GB2312" w:cs="仿宋_GB2312"/>
                <w:sz w:val="24"/>
              </w:rPr>
            </w:pPr>
          </w:p>
        </w:tc>
        <w:tc>
          <w:tcPr>
            <w:tcW w:w="708"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29" w:type="dxa"/>
            <w:vMerge w:val="continue"/>
            <w:noWrap w:val="0"/>
            <w:vAlign w:val="center"/>
          </w:tcPr>
          <w:p>
            <w:pPr>
              <w:jc w:val="center"/>
              <w:rPr>
                <w:rFonts w:hint="eastAsia" w:ascii="仿宋_GB2312" w:hAnsi="仿宋_GB2312" w:eastAsia="仿宋_GB2312" w:cs="仿宋_GB2312"/>
                <w:sz w:val="24"/>
              </w:rPr>
            </w:pPr>
          </w:p>
        </w:tc>
        <w:tc>
          <w:tcPr>
            <w:tcW w:w="17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实验耗材管理</w:t>
            </w:r>
          </w:p>
        </w:tc>
        <w:tc>
          <w:tcPr>
            <w:tcW w:w="423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管理规范，查看领用台账</w:t>
            </w:r>
          </w:p>
        </w:tc>
        <w:tc>
          <w:tcPr>
            <w:tcW w:w="7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709" w:type="dxa"/>
            <w:noWrap w:val="0"/>
            <w:vAlign w:val="center"/>
          </w:tcPr>
          <w:p>
            <w:pPr>
              <w:jc w:val="center"/>
              <w:rPr>
                <w:rFonts w:hint="eastAsia" w:ascii="仿宋_GB2312" w:hAnsi="仿宋_GB2312" w:eastAsia="仿宋_GB2312" w:cs="仿宋_GB2312"/>
                <w:sz w:val="24"/>
              </w:rPr>
            </w:pPr>
          </w:p>
        </w:tc>
        <w:tc>
          <w:tcPr>
            <w:tcW w:w="708"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129" w:type="dxa"/>
            <w:vMerge w:val="continue"/>
            <w:noWrap w:val="0"/>
            <w:vAlign w:val="center"/>
          </w:tcPr>
          <w:p>
            <w:pPr>
              <w:jc w:val="center"/>
              <w:rPr>
                <w:rFonts w:hint="eastAsia" w:ascii="仿宋_GB2312" w:hAnsi="仿宋_GB2312" w:eastAsia="仿宋_GB2312" w:cs="仿宋_GB2312"/>
                <w:sz w:val="24"/>
              </w:rPr>
            </w:pPr>
          </w:p>
        </w:tc>
        <w:tc>
          <w:tcPr>
            <w:tcW w:w="17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环境卫生</w:t>
            </w:r>
          </w:p>
        </w:tc>
        <w:tc>
          <w:tcPr>
            <w:tcW w:w="423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环境整洁，设备洁净</w:t>
            </w:r>
          </w:p>
        </w:tc>
        <w:tc>
          <w:tcPr>
            <w:tcW w:w="7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709" w:type="dxa"/>
            <w:noWrap w:val="0"/>
            <w:vAlign w:val="center"/>
          </w:tcPr>
          <w:p>
            <w:pPr>
              <w:jc w:val="center"/>
              <w:rPr>
                <w:rFonts w:hint="eastAsia" w:ascii="仿宋_GB2312" w:hAnsi="仿宋_GB2312" w:eastAsia="仿宋_GB2312" w:cs="仿宋_GB2312"/>
                <w:sz w:val="24"/>
              </w:rPr>
            </w:pPr>
          </w:p>
        </w:tc>
        <w:tc>
          <w:tcPr>
            <w:tcW w:w="708"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29" w:type="dxa"/>
            <w:vMerge w:val="continue"/>
            <w:noWrap w:val="0"/>
            <w:vAlign w:val="center"/>
          </w:tcPr>
          <w:p>
            <w:pPr>
              <w:jc w:val="center"/>
              <w:rPr>
                <w:rFonts w:hint="eastAsia" w:ascii="仿宋_GB2312" w:hAnsi="仿宋_GB2312" w:eastAsia="仿宋_GB2312" w:cs="仿宋_GB2312"/>
                <w:sz w:val="24"/>
              </w:rPr>
            </w:pPr>
          </w:p>
        </w:tc>
        <w:tc>
          <w:tcPr>
            <w:tcW w:w="17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教学运行记录</w:t>
            </w:r>
          </w:p>
        </w:tc>
        <w:tc>
          <w:tcPr>
            <w:tcW w:w="423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教学使用记录</w:t>
            </w:r>
          </w:p>
        </w:tc>
        <w:tc>
          <w:tcPr>
            <w:tcW w:w="7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709" w:type="dxa"/>
            <w:noWrap w:val="0"/>
            <w:vAlign w:val="center"/>
          </w:tcPr>
          <w:p>
            <w:pPr>
              <w:jc w:val="center"/>
              <w:rPr>
                <w:rFonts w:hint="eastAsia" w:ascii="仿宋_GB2312" w:hAnsi="仿宋_GB2312" w:eastAsia="仿宋_GB2312" w:cs="仿宋_GB2312"/>
                <w:sz w:val="24"/>
              </w:rPr>
            </w:pPr>
          </w:p>
        </w:tc>
        <w:tc>
          <w:tcPr>
            <w:tcW w:w="708"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2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4.大型设备管理</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（20分）</w:t>
            </w:r>
          </w:p>
        </w:tc>
        <w:tc>
          <w:tcPr>
            <w:tcW w:w="17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使用记录</w:t>
            </w:r>
          </w:p>
        </w:tc>
        <w:tc>
          <w:tcPr>
            <w:tcW w:w="423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完整的使用记录（大型贵重仪器设备必录）</w:t>
            </w:r>
          </w:p>
        </w:tc>
        <w:tc>
          <w:tcPr>
            <w:tcW w:w="7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709" w:type="dxa"/>
            <w:noWrap w:val="0"/>
            <w:vAlign w:val="center"/>
          </w:tcPr>
          <w:p>
            <w:pPr>
              <w:jc w:val="center"/>
              <w:rPr>
                <w:rFonts w:hint="eastAsia" w:ascii="仿宋_GB2312" w:hAnsi="仿宋_GB2312" w:eastAsia="仿宋_GB2312" w:cs="仿宋_GB2312"/>
                <w:sz w:val="24"/>
              </w:rPr>
            </w:pPr>
          </w:p>
        </w:tc>
        <w:tc>
          <w:tcPr>
            <w:tcW w:w="708"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29" w:type="dxa"/>
            <w:vMerge w:val="continue"/>
            <w:noWrap w:val="0"/>
            <w:vAlign w:val="center"/>
          </w:tcPr>
          <w:p>
            <w:pPr>
              <w:jc w:val="center"/>
              <w:rPr>
                <w:rFonts w:hint="eastAsia" w:ascii="仿宋_GB2312" w:hAnsi="仿宋_GB2312" w:eastAsia="仿宋_GB2312" w:cs="仿宋_GB2312"/>
                <w:sz w:val="24"/>
              </w:rPr>
            </w:pPr>
          </w:p>
        </w:tc>
        <w:tc>
          <w:tcPr>
            <w:tcW w:w="17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专人管理</w:t>
            </w:r>
          </w:p>
        </w:tc>
        <w:tc>
          <w:tcPr>
            <w:tcW w:w="423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落实专人负责管理</w:t>
            </w:r>
          </w:p>
        </w:tc>
        <w:tc>
          <w:tcPr>
            <w:tcW w:w="7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709" w:type="dxa"/>
            <w:noWrap w:val="0"/>
            <w:vAlign w:val="center"/>
          </w:tcPr>
          <w:p>
            <w:pPr>
              <w:jc w:val="center"/>
              <w:rPr>
                <w:rFonts w:hint="eastAsia" w:ascii="仿宋_GB2312" w:hAnsi="仿宋_GB2312" w:eastAsia="仿宋_GB2312" w:cs="仿宋_GB2312"/>
                <w:sz w:val="24"/>
              </w:rPr>
            </w:pPr>
          </w:p>
        </w:tc>
        <w:tc>
          <w:tcPr>
            <w:tcW w:w="708"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129" w:type="dxa"/>
            <w:vMerge w:val="continue"/>
            <w:noWrap w:val="0"/>
            <w:vAlign w:val="center"/>
          </w:tcPr>
          <w:p>
            <w:pPr>
              <w:jc w:val="center"/>
              <w:rPr>
                <w:rFonts w:hint="eastAsia" w:ascii="仿宋_GB2312" w:hAnsi="仿宋_GB2312" w:eastAsia="仿宋_GB2312" w:cs="仿宋_GB2312"/>
                <w:sz w:val="24"/>
              </w:rPr>
            </w:pPr>
          </w:p>
        </w:tc>
        <w:tc>
          <w:tcPr>
            <w:tcW w:w="17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保养维护</w:t>
            </w:r>
          </w:p>
        </w:tc>
        <w:tc>
          <w:tcPr>
            <w:tcW w:w="423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保养记录（大型贵重仪器设备</w:t>
            </w:r>
            <w:r>
              <w:rPr>
                <w:rFonts w:hint="eastAsia" w:ascii="仿宋_GB2312" w:hAnsi="仿宋_GB2312" w:eastAsia="仿宋_GB2312" w:cs="仿宋_GB2312"/>
                <w:sz w:val="24"/>
                <w:lang w:eastAsia="zh-CN"/>
              </w:rPr>
              <w:t>记</w:t>
            </w:r>
            <w:r>
              <w:rPr>
                <w:rFonts w:hint="eastAsia" w:ascii="仿宋_GB2312" w:hAnsi="仿宋_GB2312" w:eastAsia="仿宋_GB2312" w:cs="仿宋_GB2312"/>
                <w:sz w:val="24"/>
              </w:rPr>
              <w:t>录）</w:t>
            </w:r>
          </w:p>
        </w:tc>
        <w:tc>
          <w:tcPr>
            <w:tcW w:w="7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709" w:type="dxa"/>
            <w:noWrap w:val="0"/>
            <w:vAlign w:val="center"/>
          </w:tcPr>
          <w:p>
            <w:pPr>
              <w:jc w:val="center"/>
              <w:rPr>
                <w:rFonts w:hint="eastAsia" w:ascii="仿宋_GB2312" w:hAnsi="仿宋_GB2312" w:eastAsia="仿宋_GB2312" w:cs="仿宋_GB2312"/>
                <w:sz w:val="24"/>
              </w:rPr>
            </w:pPr>
          </w:p>
        </w:tc>
        <w:tc>
          <w:tcPr>
            <w:tcW w:w="708"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29" w:type="dxa"/>
            <w:vMerge w:val="continue"/>
            <w:noWrap w:val="0"/>
            <w:vAlign w:val="center"/>
          </w:tcPr>
          <w:p>
            <w:pPr>
              <w:jc w:val="center"/>
              <w:rPr>
                <w:rFonts w:hint="eastAsia" w:ascii="仿宋_GB2312" w:hAnsi="仿宋_GB2312" w:eastAsia="仿宋_GB2312" w:cs="仿宋_GB2312"/>
                <w:sz w:val="24"/>
              </w:rPr>
            </w:pPr>
          </w:p>
        </w:tc>
        <w:tc>
          <w:tcPr>
            <w:tcW w:w="17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档案管理</w:t>
            </w:r>
          </w:p>
        </w:tc>
        <w:tc>
          <w:tcPr>
            <w:tcW w:w="423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随机资料齐全（包括使用说明书、保修卡、随机软件等）保存完整</w:t>
            </w:r>
          </w:p>
        </w:tc>
        <w:tc>
          <w:tcPr>
            <w:tcW w:w="7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709" w:type="dxa"/>
            <w:noWrap w:val="0"/>
            <w:vAlign w:val="center"/>
          </w:tcPr>
          <w:p>
            <w:pPr>
              <w:jc w:val="center"/>
              <w:rPr>
                <w:rFonts w:hint="eastAsia" w:ascii="仿宋_GB2312" w:hAnsi="仿宋_GB2312" w:eastAsia="仿宋_GB2312" w:cs="仿宋_GB2312"/>
                <w:sz w:val="24"/>
              </w:rPr>
            </w:pPr>
          </w:p>
        </w:tc>
        <w:tc>
          <w:tcPr>
            <w:tcW w:w="708"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7141"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总</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分</w:t>
            </w:r>
          </w:p>
        </w:tc>
        <w:tc>
          <w:tcPr>
            <w:tcW w:w="7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709" w:type="dxa"/>
            <w:noWrap w:val="0"/>
            <w:vAlign w:val="center"/>
          </w:tcPr>
          <w:p>
            <w:pPr>
              <w:jc w:val="center"/>
              <w:rPr>
                <w:rFonts w:hint="eastAsia" w:ascii="仿宋_GB2312" w:hAnsi="仿宋_GB2312" w:eastAsia="仿宋_GB2312" w:cs="仿宋_GB2312"/>
                <w:sz w:val="24"/>
              </w:rPr>
            </w:pPr>
          </w:p>
        </w:tc>
        <w:tc>
          <w:tcPr>
            <w:tcW w:w="708" w:type="dxa"/>
            <w:noWrap w:val="0"/>
            <w:vAlign w:val="center"/>
          </w:tcPr>
          <w:p>
            <w:pPr>
              <w:jc w:val="center"/>
              <w:rPr>
                <w:rFonts w:hint="eastAsia" w:ascii="仿宋_GB2312" w:hAnsi="仿宋_GB2312" w:eastAsia="仿宋_GB2312" w:cs="仿宋_GB2312"/>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27C44"/>
    <w:rsid w:val="47227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Char"/>
    <w:basedOn w:val="1"/>
    <w:qFormat/>
    <w:uiPriority w:val="0"/>
    <w:rPr>
      <w:rFonts w:ascii="Times New Roman" w:hAnsi="Times New Roman"/>
      <w:szCs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2020-12-07T00:46:00Z</dcterms:created>
  <dc:creator>Administrator</dc:creator>
  <cp:lastModifiedBy>Administrator</cp:lastModifiedBy>
  <dcterms:modified xsi:type="dcterms:W3CDTF">2020-12-07T00:47:00Z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