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000000"/>
          <w:kern w:val="0"/>
          <w:sz w:val="28"/>
          <w:szCs w:val="28"/>
        </w:rPr>
      </w:pPr>
      <w:bookmarkStart w:id="0" w:name="_GoBack"/>
      <w:r>
        <w:rPr>
          <w:rFonts w:hint="eastAsia" w:ascii="方正小标宋简体" w:hAnsi="方正小标宋简体" w:eastAsia="方正小标宋简体" w:cs="方正小标宋简体"/>
          <w:sz w:val="44"/>
          <w:szCs w:val="44"/>
        </w:rPr>
        <w:t>台州科技职业学院国有资产对外投资管理办法</w:t>
      </w:r>
    </w:p>
    <w:bookmarkEnd w:id="0"/>
    <w:p>
      <w:pPr>
        <w:autoSpaceDE w:val="0"/>
        <w:spacing w:line="480" w:lineRule="exact"/>
        <w:rPr>
          <w:rFonts w:hint="eastAsia" w:ascii="宋体" w:hAnsi="宋体" w:cs="宋体"/>
          <w:color w:val="000000"/>
          <w:kern w:val="0"/>
          <w:sz w:val="28"/>
          <w:szCs w:val="28"/>
        </w:rPr>
      </w:pPr>
    </w:p>
    <w:p>
      <w:pPr>
        <w:autoSpaceDE w:val="0"/>
        <w:spacing w:before="156" w:beforeLines="50" w:after="156" w:afterLines="50" w:line="48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第一章  总则</w:t>
      </w:r>
    </w:p>
    <w:p>
      <w:pPr>
        <w:widowControl/>
        <w:wordWrap w:val="0"/>
        <w:spacing w:line="480" w:lineRule="exact"/>
        <w:ind w:firstLine="562" w:firstLineChars="200"/>
        <w:jc w:val="left"/>
        <w:rPr>
          <w:rFonts w:hint="eastAsia" w:ascii="宋体" w:hAnsi="宋体" w:cs="宋体"/>
          <w:sz w:val="28"/>
          <w:szCs w:val="28"/>
        </w:rPr>
      </w:pPr>
      <w:r>
        <w:rPr>
          <w:rFonts w:hint="eastAsia" w:ascii="宋体" w:hAnsi="宋体" w:cs="宋体"/>
          <w:b/>
          <w:bCs/>
          <w:sz w:val="28"/>
          <w:szCs w:val="28"/>
        </w:rPr>
        <w:t>第一条</w:t>
      </w:r>
      <w:r>
        <w:rPr>
          <w:rFonts w:hint="eastAsia" w:ascii="宋体" w:hAnsi="宋体" w:cs="宋体"/>
          <w:sz w:val="28"/>
          <w:szCs w:val="28"/>
        </w:rPr>
        <w:t xml:space="preserve">  为规范和加强学校国有资产使用管理，规避投资风险，维护国有资产安全和完整，提高国有资产使用效益，根据《浙江省行政事业单位国有资产管理暂行办法》（浙政办发〔2009〕178号）、《浙江省高等学校国有资产管理办法》（浙政办发〔2013〕18号）</w:t>
      </w:r>
      <w:r>
        <w:rPr>
          <w:rFonts w:hint="eastAsia" w:ascii="宋体" w:hAnsi="宋体" w:cs="宋体"/>
          <w:sz w:val="28"/>
          <w:szCs w:val="28"/>
          <w:lang w:eastAsia="zh-CN"/>
        </w:rPr>
        <w:t>、</w:t>
      </w:r>
      <w:r>
        <w:rPr>
          <w:rFonts w:hint="eastAsia" w:ascii="宋体" w:hAnsi="宋体" w:cs="宋体"/>
          <w:sz w:val="28"/>
          <w:szCs w:val="28"/>
        </w:rPr>
        <w:t>《</w:t>
      </w:r>
      <w:r>
        <w:rPr>
          <w:rFonts w:hint="eastAsia" w:ascii="宋体" w:hAnsi="宋体" w:cs="宋体"/>
          <w:sz w:val="28"/>
          <w:szCs w:val="28"/>
          <w:lang w:val="en-US" w:eastAsia="zh-CN"/>
        </w:rPr>
        <w:t>台州台州市财政局关于调整市级行政事业单位资产管理权限和流程有关事项的通知</w:t>
      </w:r>
      <w:r>
        <w:rPr>
          <w:rFonts w:hint="eastAsia" w:ascii="宋体" w:hAnsi="宋体" w:cs="宋体"/>
          <w:sz w:val="28"/>
          <w:szCs w:val="28"/>
        </w:rPr>
        <w:t>》（</w:t>
      </w:r>
      <w:r>
        <w:rPr>
          <w:rFonts w:hint="eastAsia" w:ascii="宋体" w:hAnsi="宋体" w:cs="宋体"/>
          <w:sz w:val="28"/>
          <w:szCs w:val="28"/>
          <w:lang w:val="en-US" w:eastAsia="zh-CN"/>
        </w:rPr>
        <w:t>台财资发</w:t>
      </w:r>
      <w:r>
        <w:rPr>
          <w:rFonts w:hint="eastAsia" w:ascii="宋体" w:hAnsi="宋体" w:cs="宋体"/>
          <w:sz w:val="28"/>
          <w:szCs w:val="28"/>
        </w:rPr>
        <w:t>〔</w:t>
      </w:r>
      <w:r>
        <w:rPr>
          <w:rFonts w:hint="eastAsia" w:ascii="宋体" w:hAnsi="宋体" w:cs="宋体"/>
          <w:sz w:val="28"/>
          <w:szCs w:val="28"/>
          <w:lang w:val="en-US" w:eastAsia="zh-CN"/>
        </w:rPr>
        <w:t>2020</w:t>
      </w:r>
      <w:r>
        <w:rPr>
          <w:rFonts w:hint="eastAsia" w:ascii="宋体" w:hAnsi="宋体" w:cs="宋体"/>
          <w:sz w:val="28"/>
          <w:szCs w:val="28"/>
        </w:rPr>
        <w:t>〕</w:t>
      </w:r>
      <w:r>
        <w:rPr>
          <w:rFonts w:hint="eastAsia" w:ascii="宋体" w:hAnsi="宋体" w:cs="宋体"/>
          <w:sz w:val="28"/>
          <w:szCs w:val="28"/>
          <w:lang w:val="en-US" w:eastAsia="zh-CN"/>
        </w:rPr>
        <w:t>7号</w:t>
      </w:r>
      <w:r>
        <w:rPr>
          <w:rFonts w:hint="eastAsia" w:ascii="宋体" w:hAnsi="宋体" w:cs="宋体"/>
          <w:sz w:val="28"/>
          <w:szCs w:val="28"/>
        </w:rPr>
        <w:t>）等有关</w:t>
      </w:r>
      <w:r>
        <w:rPr>
          <w:rFonts w:hint="eastAsia" w:ascii="宋体" w:hAnsi="宋体" w:cs="宋体"/>
          <w:sz w:val="28"/>
          <w:szCs w:val="28"/>
          <w:lang w:eastAsia="zh-CN"/>
        </w:rPr>
        <w:t>文件</w:t>
      </w:r>
      <w:r>
        <w:rPr>
          <w:rFonts w:hint="eastAsia" w:ascii="宋体" w:hAnsi="宋体" w:cs="宋体"/>
          <w:sz w:val="28"/>
          <w:szCs w:val="28"/>
        </w:rPr>
        <w:t>规定，结合我校实际，特制定本办法。</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第二条</w:t>
      </w:r>
      <w:r>
        <w:rPr>
          <w:rFonts w:hint="eastAsia" w:ascii="宋体" w:hAnsi="宋体" w:cs="宋体"/>
          <w:sz w:val="28"/>
          <w:szCs w:val="28"/>
        </w:rPr>
        <w:t xml:space="preserve">  对外投资是指学校依法利用货币资金、实物、无形资产等方式向学校以外的其他经济实体进行的投资。学校已按省教育厅、省财政厅等六部门《关于普通高等学校校办企业实行规范化管理的通知》（浙教计〔2009〕58号）要求，由学校统一行使出资人职责，成立了台州科技职业学院资产经营有限公司</w:t>
      </w:r>
      <w:r>
        <w:rPr>
          <w:rFonts w:hint="eastAsia" w:ascii="宋体" w:hAnsi="宋体" w:cs="宋体"/>
          <w:sz w:val="28"/>
          <w:szCs w:val="28"/>
          <w:lang w:eastAsia="zh-CN"/>
        </w:rPr>
        <w:t>（以下简称“资产经营公司”）</w:t>
      </w:r>
      <w:r>
        <w:rPr>
          <w:rFonts w:hint="eastAsia" w:ascii="宋体" w:hAnsi="宋体" w:cs="宋体"/>
          <w:sz w:val="28"/>
          <w:szCs w:val="28"/>
        </w:rPr>
        <w:t>，学校除了对</w:t>
      </w:r>
      <w:r>
        <w:rPr>
          <w:rFonts w:hint="eastAsia" w:ascii="宋体" w:hAnsi="宋体" w:cs="宋体"/>
          <w:sz w:val="28"/>
          <w:szCs w:val="28"/>
          <w:lang w:eastAsia="zh-CN"/>
        </w:rPr>
        <w:t>资产经营公司</w:t>
      </w:r>
      <w:r>
        <w:rPr>
          <w:rFonts w:hint="eastAsia" w:ascii="宋体" w:hAnsi="宋体" w:cs="宋体"/>
          <w:sz w:val="28"/>
          <w:szCs w:val="28"/>
        </w:rPr>
        <w:t>追加投资外，不再以学校名义对外投资。</w:t>
      </w:r>
    </w:p>
    <w:p>
      <w:pPr>
        <w:autoSpaceDE w:val="0"/>
        <w:spacing w:line="480" w:lineRule="exact"/>
        <w:ind w:firstLine="480"/>
        <w:rPr>
          <w:rFonts w:hint="eastAsia" w:ascii="宋体" w:hAnsi="宋体" w:cs="宋体"/>
          <w:sz w:val="28"/>
          <w:szCs w:val="28"/>
        </w:rPr>
      </w:pPr>
      <w:r>
        <w:rPr>
          <w:rFonts w:hint="eastAsia" w:ascii="宋体" w:hAnsi="宋体" w:cs="宋体"/>
          <w:b/>
          <w:bCs/>
          <w:sz w:val="28"/>
          <w:szCs w:val="28"/>
        </w:rPr>
        <w:t xml:space="preserve">第三条  </w:t>
      </w:r>
      <w:r>
        <w:rPr>
          <w:rFonts w:hint="eastAsia" w:ascii="宋体" w:hAnsi="宋体" w:cs="宋体"/>
          <w:sz w:val="28"/>
          <w:szCs w:val="28"/>
        </w:rPr>
        <w:t>学校在保证履行本校职责和事业发展需要的前提下，实施国有资产对外投资。</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第四条</w:t>
      </w:r>
      <w:r>
        <w:rPr>
          <w:rFonts w:hint="eastAsia" w:ascii="宋体" w:hAnsi="宋体" w:cs="宋体"/>
          <w:sz w:val="28"/>
          <w:szCs w:val="28"/>
        </w:rPr>
        <w:t xml:space="preserve">  学校国有资产对外投资需遵循权属清晰、安全完整、风险控制、注重绩效的原则。权属不明确或者存在权属纠纷的资产不进行对外投资。</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第五条</w:t>
      </w:r>
      <w:r>
        <w:rPr>
          <w:rFonts w:hint="eastAsia" w:ascii="宋体" w:hAnsi="宋体" w:cs="宋体"/>
          <w:sz w:val="28"/>
          <w:szCs w:val="28"/>
        </w:rPr>
        <w:t xml:space="preserve">  学校国有资产对外投资需严格履行审批手续，未经批准，不得进行对外投资。学校经营性资产管理委员会行使学校所有者权利，对申报的对外投资项目形成决策意见，并按规定程序审批。</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lang w:eastAsia="zh-CN"/>
        </w:rPr>
        <w:t>台州市财政</w:t>
      </w:r>
      <w:r>
        <w:rPr>
          <w:rFonts w:hint="eastAsia" w:ascii="宋体" w:hAnsi="宋体" w:cs="宋体"/>
          <w:sz w:val="28"/>
          <w:szCs w:val="28"/>
        </w:rPr>
        <w:t>局对学校投资</w:t>
      </w:r>
      <w:r>
        <w:rPr>
          <w:rFonts w:hint="eastAsia" w:ascii="宋体" w:hAnsi="宋体" w:cs="宋体"/>
          <w:sz w:val="28"/>
          <w:szCs w:val="28"/>
          <w:lang w:eastAsia="zh-CN"/>
        </w:rPr>
        <w:t>资产经营公司</w:t>
      </w:r>
      <w:r>
        <w:rPr>
          <w:rFonts w:hint="eastAsia" w:ascii="宋体" w:hAnsi="宋体" w:cs="宋体"/>
          <w:sz w:val="28"/>
          <w:szCs w:val="28"/>
        </w:rPr>
        <w:t>事项的批准文件，是学校对外投资和账务处理的重要依据。</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 xml:space="preserve">第六条  </w:t>
      </w:r>
      <w:r>
        <w:rPr>
          <w:rFonts w:hint="eastAsia" w:ascii="宋体" w:hAnsi="宋体" w:cs="宋体"/>
          <w:sz w:val="28"/>
          <w:szCs w:val="28"/>
        </w:rPr>
        <w:t>学校对外投资账务处理按照现行政府会计制度的有关规定执行。</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 xml:space="preserve">第七条  </w:t>
      </w:r>
      <w:r>
        <w:rPr>
          <w:rFonts w:hint="eastAsia" w:ascii="宋体" w:hAnsi="宋体" w:cs="宋体"/>
          <w:sz w:val="28"/>
          <w:szCs w:val="28"/>
        </w:rPr>
        <w:t>学校对对外投资资产需建立专门台账，建立档案，实行专项管理，并在学校财务会计报告中对相关信息进行披露。</w:t>
      </w:r>
    </w:p>
    <w:p>
      <w:pPr>
        <w:autoSpaceDE w:val="0"/>
        <w:spacing w:before="156" w:beforeLines="50" w:after="156" w:afterLines="50" w:line="480" w:lineRule="exact"/>
        <w:jc w:val="center"/>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rPr>
        <w:t>第二章  对外投资</w:t>
      </w:r>
      <w:r>
        <w:rPr>
          <w:rFonts w:hint="eastAsia" w:ascii="黑体" w:hAnsi="黑体" w:eastAsia="黑体" w:cs="黑体"/>
          <w:color w:val="000000"/>
          <w:kern w:val="0"/>
          <w:sz w:val="28"/>
          <w:szCs w:val="28"/>
          <w:lang w:eastAsia="zh-CN"/>
        </w:rPr>
        <w:t>资产使用管理</w:t>
      </w:r>
    </w:p>
    <w:p>
      <w:pPr>
        <w:autoSpaceDE w:val="0"/>
        <w:spacing w:line="480" w:lineRule="exact"/>
        <w:ind w:firstLine="562" w:firstLineChars="200"/>
        <w:rPr>
          <w:rFonts w:hint="eastAsia" w:ascii="宋体" w:hAnsi="宋体" w:cs="宋体"/>
          <w:b/>
          <w:bCs/>
          <w:color w:val="000000"/>
          <w:kern w:val="0"/>
          <w:sz w:val="28"/>
          <w:szCs w:val="28"/>
        </w:rPr>
      </w:pPr>
      <w:r>
        <w:rPr>
          <w:rFonts w:hint="eastAsia" w:ascii="宋体" w:hAnsi="宋体" w:cs="宋体"/>
          <w:b/>
          <w:bCs/>
          <w:sz w:val="28"/>
          <w:szCs w:val="28"/>
        </w:rPr>
        <w:t>第八条</w:t>
      </w:r>
      <w:r>
        <w:rPr>
          <w:rFonts w:hint="eastAsia" w:ascii="宋体" w:hAnsi="宋体" w:cs="宋体"/>
          <w:sz w:val="28"/>
          <w:szCs w:val="28"/>
        </w:rPr>
        <w:t xml:space="preserve">  学校督促</w:t>
      </w:r>
      <w:r>
        <w:rPr>
          <w:rFonts w:hint="eastAsia" w:ascii="宋体" w:hAnsi="宋体" w:cs="宋体"/>
          <w:sz w:val="28"/>
          <w:szCs w:val="28"/>
          <w:lang w:eastAsia="zh-CN"/>
        </w:rPr>
        <w:t>资产经营公司</w:t>
      </w:r>
      <w:r>
        <w:rPr>
          <w:rFonts w:hint="eastAsia" w:ascii="宋体" w:hAnsi="宋体" w:cs="宋体"/>
          <w:sz w:val="28"/>
          <w:szCs w:val="28"/>
        </w:rPr>
        <w:t>规范学校投入的资产使用行为，加强日常管理，防止因使用不当或管理不善造成损失和浪费，充分发挥投入资产的使用效益。</w:t>
      </w:r>
    </w:p>
    <w:p>
      <w:pPr>
        <w:widowControl/>
        <w:spacing w:line="480" w:lineRule="exact"/>
        <w:ind w:firstLine="551" w:firstLineChars="196"/>
        <w:jc w:val="left"/>
        <w:rPr>
          <w:rFonts w:hint="eastAsia" w:ascii="宋体" w:hAnsi="宋体" w:cs="宋体"/>
          <w:b/>
          <w:bCs/>
          <w:sz w:val="28"/>
          <w:szCs w:val="28"/>
        </w:rPr>
      </w:pPr>
      <w:r>
        <w:rPr>
          <w:rFonts w:hint="eastAsia" w:ascii="宋体" w:hAnsi="宋体" w:cs="宋体"/>
          <w:b/>
          <w:bCs/>
          <w:sz w:val="28"/>
          <w:szCs w:val="28"/>
        </w:rPr>
        <w:t xml:space="preserve">第九条  </w:t>
      </w:r>
      <w:r>
        <w:rPr>
          <w:rFonts w:hint="eastAsia" w:ascii="宋体" w:hAnsi="宋体" w:cs="宋体"/>
          <w:sz w:val="28"/>
          <w:szCs w:val="28"/>
        </w:rPr>
        <w:t>学校加强对无形资产的投资管理</w:t>
      </w:r>
      <w:r>
        <w:rPr>
          <w:rFonts w:hint="eastAsia" w:ascii="宋体" w:hAnsi="宋体" w:cs="宋体"/>
          <w:sz w:val="28"/>
          <w:szCs w:val="28"/>
          <w:lang w:eastAsia="zh-CN"/>
        </w:rPr>
        <w:t>，</w:t>
      </w:r>
      <w:r>
        <w:rPr>
          <w:rFonts w:hint="eastAsia" w:ascii="宋体" w:hAnsi="宋体" w:cs="宋体"/>
          <w:sz w:val="28"/>
          <w:szCs w:val="28"/>
        </w:rPr>
        <w:t>利用无形资产对外投资要进行合理计价。除</w:t>
      </w:r>
      <w:r>
        <w:rPr>
          <w:rFonts w:hint="eastAsia" w:ascii="宋体" w:hAnsi="宋体" w:cs="宋体"/>
          <w:sz w:val="28"/>
          <w:szCs w:val="28"/>
          <w:lang w:eastAsia="zh-CN"/>
        </w:rPr>
        <w:t>资产经营公司</w:t>
      </w:r>
      <w:r>
        <w:rPr>
          <w:rFonts w:hint="eastAsia" w:ascii="宋体" w:hAnsi="宋体" w:cs="宋体"/>
          <w:sz w:val="28"/>
          <w:szCs w:val="28"/>
        </w:rPr>
        <w:t>外，</w:t>
      </w:r>
      <w:r>
        <w:rPr>
          <w:rFonts w:hint="eastAsia" w:ascii="宋体" w:hAnsi="宋体" w:cs="宋体"/>
          <w:sz w:val="28"/>
          <w:szCs w:val="28"/>
          <w:lang w:eastAsia="zh-CN"/>
        </w:rPr>
        <w:t>资产经营公司</w:t>
      </w:r>
      <w:r>
        <w:rPr>
          <w:rFonts w:hint="eastAsia" w:ascii="宋体" w:hAnsi="宋体" w:cs="宋体"/>
          <w:sz w:val="28"/>
          <w:szCs w:val="28"/>
        </w:rPr>
        <w:t>新组建的控股、参股企业名称一律不得冠用校名。</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 xml:space="preserve">第十条  </w:t>
      </w:r>
      <w:r>
        <w:rPr>
          <w:rFonts w:hint="eastAsia" w:ascii="宋体" w:hAnsi="宋体" w:cs="宋体"/>
          <w:sz w:val="28"/>
          <w:szCs w:val="28"/>
        </w:rPr>
        <w:t>学校利用国有资产拟对</w:t>
      </w:r>
      <w:r>
        <w:rPr>
          <w:rFonts w:hint="eastAsia" w:ascii="宋体" w:hAnsi="宋体" w:cs="宋体"/>
          <w:sz w:val="28"/>
          <w:szCs w:val="28"/>
          <w:lang w:eastAsia="zh-CN"/>
        </w:rPr>
        <w:t>资产经营公司</w:t>
      </w:r>
      <w:r>
        <w:rPr>
          <w:rFonts w:hint="eastAsia" w:ascii="宋体" w:hAnsi="宋体" w:cs="宋体"/>
          <w:sz w:val="28"/>
          <w:szCs w:val="28"/>
        </w:rPr>
        <w:t>追加投资，</w:t>
      </w:r>
      <w:r>
        <w:rPr>
          <w:rFonts w:hint="eastAsia" w:ascii="宋体" w:hAnsi="宋体" w:cs="宋体"/>
          <w:sz w:val="28"/>
          <w:szCs w:val="28"/>
          <w:lang w:eastAsia="zh-CN"/>
        </w:rPr>
        <w:t>事前要</w:t>
      </w:r>
      <w:r>
        <w:rPr>
          <w:rFonts w:hint="eastAsia" w:ascii="宋体" w:hAnsi="宋体" w:cs="宋体"/>
          <w:sz w:val="28"/>
          <w:szCs w:val="28"/>
        </w:rPr>
        <w:t>进行必要的可行性</w:t>
      </w:r>
      <w:r>
        <w:rPr>
          <w:rFonts w:hint="eastAsia" w:ascii="宋体" w:hAnsi="宋体" w:cs="宋体"/>
          <w:sz w:val="28"/>
          <w:szCs w:val="28"/>
          <w:lang w:eastAsia="zh-CN"/>
        </w:rPr>
        <w:t>分析</w:t>
      </w:r>
      <w:r>
        <w:rPr>
          <w:rFonts w:hint="eastAsia" w:ascii="宋体" w:hAnsi="宋体" w:cs="宋体"/>
          <w:sz w:val="28"/>
          <w:szCs w:val="28"/>
        </w:rPr>
        <w:t>论证，科学、谨慎地进行决策。在通过追加投资决议后，需报</w:t>
      </w:r>
      <w:r>
        <w:rPr>
          <w:rFonts w:hint="eastAsia" w:ascii="宋体" w:hAnsi="宋体" w:cs="宋体"/>
          <w:sz w:val="28"/>
          <w:szCs w:val="28"/>
          <w:lang w:eastAsia="zh-CN"/>
        </w:rPr>
        <w:t>台州市财政</w:t>
      </w:r>
      <w:r>
        <w:rPr>
          <w:rFonts w:hint="eastAsia" w:ascii="宋体" w:hAnsi="宋体" w:cs="宋体"/>
          <w:sz w:val="28"/>
          <w:szCs w:val="28"/>
        </w:rPr>
        <w:t>局审批。</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 xml:space="preserve">第十一条 </w:t>
      </w:r>
      <w:r>
        <w:rPr>
          <w:rFonts w:hint="eastAsia" w:ascii="宋体" w:hAnsi="宋体" w:cs="宋体"/>
          <w:sz w:val="28"/>
          <w:szCs w:val="28"/>
        </w:rPr>
        <w:t xml:space="preserve"> 学校申请办理追加投资，需提交如下材料：</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（一）追加投资事项的书面申请；</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（二）追加投资申报审批表（见附件1）；</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（三）追加投资可行性论证报告；</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（四）拟对外投资资产的价值凭证及权属证明复印件（加盖单位公章）；</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（五）</w:t>
      </w:r>
      <w:r>
        <w:rPr>
          <w:rFonts w:hint="eastAsia" w:ascii="宋体" w:hAnsi="宋体" w:cs="宋体"/>
          <w:sz w:val="28"/>
          <w:szCs w:val="28"/>
          <w:lang w:eastAsia="zh-CN"/>
        </w:rPr>
        <w:t>资产经营公司</w:t>
      </w:r>
      <w:r>
        <w:rPr>
          <w:rFonts w:hint="eastAsia" w:ascii="宋体" w:hAnsi="宋体" w:cs="宋体"/>
          <w:sz w:val="28"/>
          <w:szCs w:val="28"/>
        </w:rPr>
        <w:t>章程；</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（六）学校近期的会计报表以及拟对外投资资产使用情况说明；</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（七）</w:t>
      </w:r>
      <w:r>
        <w:rPr>
          <w:rFonts w:hint="eastAsia" w:ascii="宋体" w:hAnsi="宋体" w:cs="宋体"/>
          <w:sz w:val="28"/>
          <w:szCs w:val="28"/>
          <w:lang w:eastAsia="zh-CN"/>
        </w:rPr>
        <w:t>资产经营公司</w:t>
      </w:r>
      <w:r>
        <w:rPr>
          <w:rFonts w:hint="eastAsia" w:ascii="宋体" w:hAnsi="宋体" w:cs="宋体"/>
          <w:sz w:val="28"/>
          <w:szCs w:val="28"/>
        </w:rPr>
        <w:t>增资董事会决议；</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（八）经中介机构审计的</w:t>
      </w:r>
      <w:r>
        <w:rPr>
          <w:rFonts w:hint="eastAsia" w:ascii="宋体" w:hAnsi="宋体" w:cs="宋体"/>
          <w:sz w:val="28"/>
          <w:szCs w:val="28"/>
          <w:lang w:eastAsia="zh-CN"/>
        </w:rPr>
        <w:t>资产经营公司</w:t>
      </w:r>
      <w:r>
        <w:rPr>
          <w:rFonts w:hint="eastAsia" w:ascii="宋体" w:hAnsi="宋体" w:cs="宋体"/>
          <w:sz w:val="28"/>
          <w:szCs w:val="28"/>
        </w:rPr>
        <w:t>上年年末会计报表及近期会计报表；</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（九）学校法人证书复印件、</w:t>
      </w:r>
      <w:r>
        <w:rPr>
          <w:rFonts w:hint="eastAsia" w:ascii="宋体" w:hAnsi="宋体" w:cs="宋体"/>
          <w:sz w:val="28"/>
          <w:szCs w:val="28"/>
          <w:lang w:eastAsia="zh-CN"/>
        </w:rPr>
        <w:t>资产经营公司</w:t>
      </w:r>
      <w:r>
        <w:rPr>
          <w:rFonts w:hint="eastAsia" w:ascii="宋体" w:hAnsi="宋体" w:cs="宋体"/>
          <w:sz w:val="28"/>
          <w:szCs w:val="28"/>
        </w:rPr>
        <w:t>企业营业执照复印件、法人身份证复印件等；</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（十）其他需要提交的文件、证件及材料（包括其他产权共有人同意对外投资的证明）。</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第十二条</w:t>
      </w:r>
      <w:r>
        <w:rPr>
          <w:rFonts w:hint="eastAsia" w:ascii="宋体" w:hAnsi="宋体" w:cs="宋体"/>
          <w:sz w:val="28"/>
          <w:szCs w:val="28"/>
        </w:rPr>
        <w:t xml:space="preserve">  学校经批准用非货币性资产投资或在原注资上追加投资的，须聘请具有相应资质的评估机构，对拟投资资产进行资产评估。资产评估事项经</w:t>
      </w:r>
      <w:r>
        <w:rPr>
          <w:rFonts w:hint="eastAsia" w:ascii="宋体" w:hAnsi="宋体" w:cs="宋体"/>
          <w:sz w:val="28"/>
          <w:szCs w:val="28"/>
          <w:lang w:eastAsia="zh-CN"/>
        </w:rPr>
        <w:t>台州市财政</w:t>
      </w:r>
      <w:r>
        <w:rPr>
          <w:rFonts w:hint="eastAsia" w:ascii="宋体" w:hAnsi="宋体" w:cs="宋体"/>
          <w:sz w:val="28"/>
          <w:szCs w:val="28"/>
        </w:rPr>
        <w:t>局核准或备案，并以不低于核准或备案后的评估价出资。</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eastAsia="zh-CN"/>
        </w:rPr>
        <w:t>三</w:t>
      </w:r>
      <w:r>
        <w:rPr>
          <w:rFonts w:hint="eastAsia" w:ascii="宋体" w:hAnsi="宋体" w:cs="宋体"/>
          <w:b/>
          <w:bCs/>
          <w:sz w:val="28"/>
          <w:szCs w:val="28"/>
        </w:rPr>
        <w:t>条</w:t>
      </w:r>
      <w:r>
        <w:rPr>
          <w:rFonts w:hint="eastAsia" w:ascii="宋体" w:hAnsi="宋体" w:cs="宋体"/>
          <w:sz w:val="28"/>
          <w:szCs w:val="28"/>
        </w:rPr>
        <w:t xml:space="preserve">  </w:t>
      </w:r>
      <w:r>
        <w:rPr>
          <w:rFonts w:hint="eastAsia" w:ascii="宋体" w:hAnsi="宋体" w:cs="宋体"/>
          <w:sz w:val="28"/>
          <w:szCs w:val="28"/>
          <w:lang w:val="en-US" w:eastAsia="zh-CN"/>
        </w:rPr>
        <w:t>对</w:t>
      </w:r>
      <w:r>
        <w:rPr>
          <w:rFonts w:hint="eastAsia" w:ascii="宋体" w:hAnsi="宋体" w:cs="宋体"/>
          <w:sz w:val="28"/>
          <w:szCs w:val="28"/>
        </w:rPr>
        <w:t>学校</w:t>
      </w:r>
      <w:r>
        <w:rPr>
          <w:rFonts w:hint="eastAsia" w:ascii="宋体" w:hAnsi="宋体" w:cs="宋体"/>
          <w:sz w:val="28"/>
          <w:szCs w:val="28"/>
          <w:lang w:val="en-US" w:eastAsia="zh-CN"/>
        </w:rPr>
        <w:t xml:space="preserve">由财政资金支持形成的，不涉及国防、国家安全、国家利益、重大社会公共利益的科技成果的使用权、处置权和收益权，对于此类科技成果在境内的使用、处置，由学校按内控程序，自主决定转让、许可或者作价投资。学校将科技成果转让、许可或者作价投资的，由学校自主决定是否进行资产评估；通过协议定价的，需进行公示。 </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eastAsia="zh-CN"/>
        </w:rPr>
        <w:t>四</w:t>
      </w:r>
      <w:r>
        <w:rPr>
          <w:rFonts w:hint="eastAsia" w:ascii="宋体" w:hAnsi="宋体" w:cs="宋体"/>
          <w:b/>
          <w:bCs/>
          <w:sz w:val="28"/>
          <w:szCs w:val="28"/>
        </w:rPr>
        <w:t>条</w:t>
      </w:r>
      <w:r>
        <w:rPr>
          <w:rFonts w:hint="eastAsia" w:ascii="宋体" w:hAnsi="宋体" w:cs="宋体"/>
          <w:sz w:val="28"/>
          <w:szCs w:val="28"/>
        </w:rPr>
        <w:t xml:space="preserve">  学校不得从事以下对外投资事项：</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（一）买卖期货、股票，购买各种企业债券、各类投资基金和其他任何形式的金融衍生品或进行任何形式的金融风险投资；</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（二）不得为任何单位或个人的经济活动提供担保；</w:t>
      </w: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（三）其他违反法律、行政法规规定的。</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eastAsia="zh-CN"/>
        </w:rPr>
        <w:t>五</w:t>
      </w:r>
      <w:r>
        <w:rPr>
          <w:rFonts w:hint="eastAsia" w:ascii="宋体" w:hAnsi="宋体" w:cs="宋体"/>
          <w:b/>
          <w:bCs/>
          <w:sz w:val="28"/>
          <w:szCs w:val="28"/>
        </w:rPr>
        <w:t xml:space="preserve">条 </w:t>
      </w:r>
      <w:r>
        <w:rPr>
          <w:rFonts w:hint="eastAsia" w:ascii="宋体" w:hAnsi="宋体" w:cs="宋体"/>
          <w:sz w:val="28"/>
          <w:szCs w:val="28"/>
        </w:rPr>
        <w:t xml:space="preserve"> 学校须严格控制货币性资金对外投资，不得利用财政拨款和财政拨款结余对外投资。</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eastAsia="zh-CN"/>
        </w:rPr>
        <w:t>六</w:t>
      </w:r>
      <w:r>
        <w:rPr>
          <w:rFonts w:hint="eastAsia" w:ascii="宋体" w:hAnsi="宋体" w:cs="宋体"/>
          <w:b/>
          <w:bCs/>
          <w:sz w:val="28"/>
          <w:szCs w:val="28"/>
        </w:rPr>
        <w:t>条</w:t>
      </w:r>
      <w:r>
        <w:rPr>
          <w:rFonts w:hint="eastAsia" w:ascii="宋体" w:hAnsi="宋体" w:cs="宋体"/>
          <w:sz w:val="28"/>
          <w:szCs w:val="28"/>
        </w:rPr>
        <w:t xml:space="preserve">  学校</w:t>
      </w:r>
      <w:r>
        <w:rPr>
          <w:rFonts w:hint="eastAsia" w:ascii="宋体" w:hAnsi="宋体" w:cs="宋体"/>
          <w:sz w:val="28"/>
          <w:szCs w:val="28"/>
          <w:lang w:eastAsia="zh-CN"/>
        </w:rPr>
        <w:t>需</w:t>
      </w:r>
      <w:r>
        <w:rPr>
          <w:rFonts w:hint="eastAsia" w:ascii="宋体" w:hAnsi="宋体" w:cs="宋体"/>
          <w:sz w:val="28"/>
          <w:szCs w:val="28"/>
        </w:rPr>
        <w:t>依照《中华人民共和国企业国有资产法》、《中华人民共和国公司法》、《企业财务通则》和《企业国有产权转让管理暂行办法》等企业国有资产监管的有关规定，加强对资产经营公司的监督管理，依法履行出资人的职能。</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eastAsia="zh-CN"/>
        </w:rPr>
        <w:t>七</w:t>
      </w:r>
      <w:r>
        <w:rPr>
          <w:rFonts w:hint="eastAsia" w:ascii="宋体" w:hAnsi="宋体" w:cs="宋体"/>
          <w:b/>
          <w:bCs/>
          <w:sz w:val="28"/>
          <w:szCs w:val="28"/>
        </w:rPr>
        <w:t xml:space="preserve">条  </w:t>
      </w:r>
      <w:r>
        <w:rPr>
          <w:rFonts w:hint="eastAsia" w:ascii="宋体" w:hAnsi="宋体" w:cs="宋体"/>
          <w:sz w:val="28"/>
          <w:szCs w:val="28"/>
        </w:rPr>
        <w:t>学校对外投资，享有对外投资收益分配权，并承担对投入资产的安全完整和保值增值的监督责任。</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eastAsia="zh-CN"/>
        </w:rPr>
        <w:t>八</w:t>
      </w:r>
      <w:r>
        <w:rPr>
          <w:rFonts w:hint="eastAsia" w:ascii="宋体" w:hAnsi="宋体" w:cs="宋体"/>
          <w:b/>
          <w:bCs/>
          <w:sz w:val="28"/>
          <w:szCs w:val="28"/>
        </w:rPr>
        <w:t xml:space="preserve">条  </w:t>
      </w:r>
      <w:r>
        <w:rPr>
          <w:rFonts w:hint="eastAsia" w:ascii="宋体" w:hAnsi="宋体" w:cs="宋体"/>
          <w:sz w:val="28"/>
          <w:szCs w:val="28"/>
        </w:rPr>
        <w:t>学校须加强对对外投资的风险控制，对对外投资资产的经营和收益分配应进行严格考核和监督检查，发现可能出现资产损失的，要及时采取措施加以控制，防止国有资产流失。</w:t>
      </w:r>
    </w:p>
    <w:p>
      <w:pPr>
        <w:autoSpaceDE w:val="0"/>
        <w:spacing w:line="480" w:lineRule="exact"/>
        <w:ind w:firstLine="480"/>
        <w:rPr>
          <w:rFonts w:hint="eastAsia" w:ascii="宋体" w:hAnsi="宋体" w:cs="宋体"/>
          <w:sz w:val="28"/>
          <w:szCs w:val="28"/>
        </w:rPr>
      </w:pPr>
      <w:r>
        <w:rPr>
          <w:rFonts w:hint="eastAsia" w:ascii="宋体" w:hAnsi="宋体" w:cs="宋体"/>
          <w:b/>
          <w:bCs/>
          <w:sz w:val="28"/>
          <w:szCs w:val="28"/>
        </w:rPr>
        <w:t>第十</w:t>
      </w:r>
      <w:r>
        <w:rPr>
          <w:rFonts w:hint="eastAsia" w:ascii="宋体" w:hAnsi="宋体" w:cs="宋体"/>
          <w:b/>
          <w:bCs/>
          <w:sz w:val="28"/>
          <w:szCs w:val="28"/>
          <w:lang w:eastAsia="zh-CN"/>
        </w:rPr>
        <w:t>九</w:t>
      </w:r>
      <w:r>
        <w:rPr>
          <w:rFonts w:hint="eastAsia" w:ascii="宋体" w:hAnsi="宋体" w:cs="宋体"/>
          <w:b/>
          <w:bCs/>
          <w:sz w:val="28"/>
          <w:szCs w:val="28"/>
        </w:rPr>
        <w:t xml:space="preserve">条  </w:t>
      </w:r>
      <w:r>
        <w:rPr>
          <w:rFonts w:hint="eastAsia" w:ascii="宋体" w:hAnsi="宋体" w:cs="宋体"/>
          <w:sz w:val="28"/>
          <w:szCs w:val="28"/>
        </w:rPr>
        <w:t>学校财务报告应充分披露对外投资的数量、价值、投资形式和收益等有关信息。</w:t>
      </w:r>
    </w:p>
    <w:p>
      <w:pPr>
        <w:autoSpaceDE w:val="0"/>
        <w:spacing w:before="156" w:beforeLines="50" w:after="156" w:afterLines="50" w:line="48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第三章  对外投资资产处置管理</w:t>
      </w:r>
    </w:p>
    <w:p>
      <w:pPr>
        <w:autoSpaceDE w:val="0"/>
        <w:spacing w:line="480" w:lineRule="exact"/>
        <w:ind w:firstLine="480"/>
        <w:rPr>
          <w:rFonts w:hint="eastAsia" w:ascii="宋体" w:hAnsi="宋体" w:cs="宋体"/>
          <w:sz w:val="28"/>
          <w:szCs w:val="28"/>
        </w:rPr>
      </w:pPr>
      <w:r>
        <w:rPr>
          <w:rFonts w:hint="eastAsia" w:ascii="宋体" w:hAnsi="宋体" w:cs="宋体"/>
          <w:b/>
          <w:bCs/>
          <w:sz w:val="28"/>
          <w:szCs w:val="28"/>
        </w:rPr>
        <w:t>第</w:t>
      </w:r>
      <w:r>
        <w:rPr>
          <w:rFonts w:hint="eastAsia" w:ascii="宋体" w:hAnsi="宋体" w:cs="宋体"/>
          <w:b/>
          <w:bCs/>
          <w:sz w:val="28"/>
          <w:szCs w:val="28"/>
          <w:lang w:eastAsia="zh-CN"/>
        </w:rPr>
        <w:t>二</w:t>
      </w:r>
      <w:r>
        <w:rPr>
          <w:rFonts w:hint="eastAsia" w:ascii="宋体" w:hAnsi="宋体" w:cs="宋体"/>
          <w:b/>
          <w:bCs/>
          <w:sz w:val="28"/>
          <w:szCs w:val="28"/>
        </w:rPr>
        <w:t xml:space="preserve">十条  </w:t>
      </w:r>
      <w:r>
        <w:rPr>
          <w:rFonts w:hint="eastAsia" w:ascii="宋体" w:hAnsi="宋体" w:cs="宋体"/>
          <w:sz w:val="28"/>
          <w:szCs w:val="28"/>
        </w:rPr>
        <w:t>学校对外投资资产的处置，参照《台州科技职业学院国有资产处置管理办法》办理。</w:t>
      </w:r>
    </w:p>
    <w:p>
      <w:pPr>
        <w:autoSpaceDE w:val="0"/>
        <w:spacing w:before="156" w:beforeLines="50" w:after="156" w:afterLines="50" w:line="480" w:lineRule="exact"/>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第四章  对外投资资产收益管理</w:t>
      </w:r>
    </w:p>
    <w:p>
      <w:pPr>
        <w:autoSpaceDE w:val="0"/>
        <w:spacing w:line="480" w:lineRule="exact"/>
        <w:ind w:firstLine="562" w:firstLineChars="200"/>
        <w:rPr>
          <w:rFonts w:hint="eastAsia" w:ascii="宋体" w:hAnsi="宋体" w:cs="宋体"/>
          <w:b/>
          <w:bCs/>
          <w:color w:val="000000"/>
          <w:kern w:val="0"/>
          <w:sz w:val="28"/>
          <w:szCs w:val="28"/>
        </w:rPr>
      </w:pPr>
      <w:r>
        <w:rPr>
          <w:rFonts w:hint="eastAsia" w:ascii="宋体" w:hAnsi="宋体" w:cs="宋体"/>
          <w:b/>
          <w:bCs/>
          <w:sz w:val="28"/>
          <w:szCs w:val="28"/>
        </w:rPr>
        <w:t>第二十条</w:t>
      </w:r>
      <w:r>
        <w:rPr>
          <w:rFonts w:hint="eastAsia" w:ascii="宋体" w:hAnsi="宋体" w:cs="宋体"/>
          <w:sz w:val="28"/>
          <w:szCs w:val="28"/>
        </w:rPr>
        <w:t xml:space="preserve">  学校对外投资取得的收益，由计划财务处按投资协议、合同收取、管理和分配。资产经营公司应加强</w:t>
      </w:r>
      <w:r>
        <w:rPr>
          <w:rFonts w:hint="eastAsia" w:ascii="宋体" w:hAnsi="宋体" w:cs="宋体"/>
          <w:sz w:val="28"/>
          <w:szCs w:val="28"/>
          <w:lang w:eastAsia="zh-CN"/>
        </w:rPr>
        <w:t>对下属企业的</w:t>
      </w:r>
      <w:r>
        <w:rPr>
          <w:rFonts w:hint="eastAsia" w:ascii="宋体" w:hAnsi="宋体" w:cs="宋体"/>
          <w:sz w:val="28"/>
          <w:szCs w:val="28"/>
        </w:rPr>
        <w:t>监督管理，规避经营风险，确保国有资产保值增值，增加对学校的投资回报。</w:t>
      </w:r>
    </w:p>
    <w:p>
      <w:pPr>
        <w:autoSpaceDE w:val="0"/>
        <w:spacing w:before="156" w:beforeLines="50" w:after="156" w:afterLines="50" w:line="480" w:lineRule="exact"/>
        <w:jc w:val="center"/>
        <w:rPr>
          <w:rFonts w:hint="eastAsia" w:ascii="黑体" w:hAnsi="黑体" w:eastAsia="黑体" w:cs="黑体"/>
          <w:sz w:val="28"/>
          <w:szCs w:val="28"/>
        </w:rPr>
      </w:pPr>
      <w:r>
        <w:rPr>
          <w:rFonts w:hint="eastAsia" w:ascii="黑体" w:hAnsi="黑体" w:eastAsia="黑体" w:cs="黑体"/>
          <w:color w:val="000000"/>
          <w:kern w:val="0"/>
          <w:sz w:val="28"/>
          <w:szCs w:val="28"/>
        </w:rPr>
        <w:t>第五章  附则</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第二十一条</w:t>
      </w:r>
      <w:r>
        <w:rPr>
          <w:rFonts w:hint="eastAsia" w:ascii="宋体" w:hAnsi="宋体" w:cs="宋体"/>
          <w:sz w:val="28"/>
          <w:szCs w:val="28"/>
        </w:rPr>
        <w:t xml:space="preserve">  纪检、监察审计室等有关部门要加强对学校国有资产对外投资的监督、检查，制止各种违法违纪行为，防止国有资产流失，维护学校国有资产的合法权益。</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第二十二条</w:t>
      </w:r>
      <w:r>
        <w:rPr>
          <w:rFonts w:hint="eastAsia" w:ascii="宋体" w:hAnsi="宋体" w:cs="宋体"/>
          <w:sz w:val="28"/>
          <w:szCs w:val="28"/>
        </w:rPr>
        <w:t xml:space="preserve">  </w:t>
      </w:r>
      <w:r>
        <w:rPr>
          <w:rFonts w:hint="eastAsia" w:ascii="宋体" w:hAnsi="宋体" w:cs="宋体"/>
          <w:sz w:val="28"/>
          <w:szCs w:val="28"/>
          <w:lang w:eastAsia="zh-CN"/>
        </w:rPr>
        <w:t>资产经营公司</w:t>
      </w:r>
      <w:r>
        <w:rPr>
          <w:rFonts w:hint="eastAsia" w:ascii="宋体" w:hAnsi="宋体" w:cs="宋体"/>
          <w:sz w:val="28"/>
          <w:szCs w:val="28"/>
        </w:rPr>
        <w:t>对投入经营的资产负保值增值的责任。其资产管理，按照企业国有资产使用管理的规定执行。</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 xml:space="preserve">第二十三条  </w:t>
      </w:r>
      <w:r>
        <w:rPr>
          <w:rFonts w:hint="eastAsia" w:ascii="宋体" w:hAnsi="宋体" w:cs="宋体"/>
          <w:sz w:val="28"/>
          <w:szCs w:val="28"/>
        </w:rPr>
        <w:t>本办法由国有资产管理处负责解释。</w:t>
      </w:r>
    </w:p>
    <w:p>
      <w:pPr>
        <w:autoSpaceDE w:val="0"/>
        <w:spacing w:line="480" w:lineRule="exact"/>
        <w:ind w:firstLine="562" w:firstLineChars="200"/>
        <w:rPr>
          <w:rFonts w:hint="eastAsia" w:ascii="宋体" w:hAnsi="宋体" w:cs="宋体"/>
          <w:sz w:val="28"/>
          <w:szCs w:val="28"/>
        </w:rPr>
      </w:pPr>
      <w:r>
        <w:rPr>
          <w:rFonts w:hint="eastAsia" w:ascii="宋体" w:hAnsi="宋体" w:cs="宋体"/>
          <w:b/>
          <w:bCs/>
          <w:sz w:val="28"/>
          <w:szCs w:val="28"/>
        </w:rPr>
        <w:t xml:space="preserve">第二十四条  </w:t>
      </w:r>
      <w:r>
        <w:rPr>
          <w:rFonts w:hint="eastAsia" w:ascii="宋体" w:hAnsi="宋体" w:cs="宋体"/>
          <w:sz w:val="28"/>
          <w:szCs w:val="28"/>
        </w:rPr>
        <w:t xml:space="preserve">本办法自发布之日起施行。 </w:t>
      </w:r>
    </w:p>
    <w:p>
      <w:pPr>
        <w:autoSpaceDE w:val="0"/>
        <w:spacing w:line="480" w:lineRule="exact"/>
        <w:rPr>
          <w:rFonts w:hint="eastAsia" w:ascii="宋体" w:hAnsi="宋体" w:cs="宋体"/>
          <w:sz w:val="28"/>
          <w:szCs w:val="28"/>
        </w:rPr>
      </w:pPr>
    </w:p>
    <w:p>
      <w:pPr>
        <w:autoSpaceDE w:val="0"/>
        <w:spacing w:line="480" w:lineRule="exact"/>
        <w:ind w:firstLine="560" w:firstLineChars="200"/>
        <w:rPr>
          <w:rFonts w:hint="eastAsia" w:ascii="宋体" w:hAnsi="宋体" w:cs="宋体"/>
          <w:sz w:val="28"/>
          <w:szCs w:val="28"/>
        </w:rPr>
      </w:pPr>
      <w:r>
        <w:rPr>
          <w:rFonts w:hint="eastAsia" w:ascii="宋体" w:hAnsi="宋体" w:cs="宋体"/>
          <w:sz w:val="28"/>
          <w:szCs w:val="28"/>
        </w:rPr>
        <w:t>附件：台州科技职业学院对外投资申报审批表</w:t>
      </w:r>
    </w:p>
    <w:p>
      <w:pPr>
        <w:autoSpaceDE w:val="0"/>
        <w:spacing w:line="480" w:lineRule="exact"/>
        <w:rPr>
          <w:rFonts w:hint="eastAsia" w:ascii="宋体" w:hAnsi="宋体" w:cs="宋体"/>
          <w:sz w:val="28"/>
          <w:szCs w:val="28"/>
        </w:rPr>
      </w:pPr>
    </w:p>
    <w:p>
      <w:pPr>
        <w:autoSpaceDE w:val="0"/>
        <w:spacing w:line="480" w:lineRule="exact"/>
        <w:rPr>
          <w:rFonts w:hint="eastAsia" w:ascii="宋体" w:hAnsi="宋体" w:cs="宋体"/>
          <w:sz w:val="28"/>
          <w:szCs w:val="28"/>
        </w:rPr>
      </w:pPr>
    </w:p>
    <w:p>
      <w:pPr>
        <w:autoSpaceDE w:val="0"/>
        <w:spacing w:line="500" w:lineRule="exact"/>
        <w:rPr>
          <w:rFonts w:hint="eastAsia" w:ascii="黑体" w:hAnsi="黑体" w:eastAsia="黑体" w:cs="黑体"/>
          <w:sz w:val="28"/>
          <w:szCs w:val="28"/>
        </w:rPr>
      </w:pPr>
    </w:p>
    <w:p>
      <w:pPr>
        <w:autoSpaceDE w:val="0"/>
        <w:spacing w:line="500" w:lineRule="exac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w:t>
      </w:r>
    </w:p>
    <w:p>
      <w:pPr>
        <w:spacing w:before="156" w:beforeLines="50" w:after="156" w:after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台州科技职业学院投资申报审批表</w:t>
      </w:r>
    </w:p>
    <w:tbl>
      <w:tblPr>
        <w:tblStyle w:val="3"/>
        <w:tblW w:w="90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10"/>
        <w:gridCol w:w="2818"/>
        <w:gridCol w:w="142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50" w:type="dxa"/>
            <w:vMerge w:val="restart"/>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申报单位</w:t>
            </w: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单位名称</w:t>
            </w:r>
          </w:p>
        </w:tc>
        <w:tc>
          <w:tcPr>
            <w:tcW w:w="2818" w:type="dxa"/>
            <w:noWrap w:val="0"/>
            <w:vAlign w:val="center"/>
          </w:tcPr>
          <w:p>
            <w:pPr>
              <w:spacing w:line="280" w:lineRule="exact"/>
              <w:jc w:val="center"/>
              <w:rPr>
                <w:rFonts w:hint="eastAsia" w:ascii="宋体" w:hAnsi="宋体" w:eastAsia="宋体"/>
                <w:sz w:val="24"/>
                <w:szCs w:val="28"/>
              </w:rPr>
            </w:pPr>
          </w:p>
        </w:tc>
        <w:tc>
          <w:tcPr>
            <w:tcW w:w="1425"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法人代表</w:t>
            </w:r>
          </w:p>
        </w:tc>
        <w:tc>
          <w:tcPr>
            <w:tcW w:w="2520" w:type="dxa"/>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单位性质</w:t>
            </w:r>
          </w:p>
        </w:tc>
        <w:tc>
          <w:tcPr>
            <w:tcW w:w="2818" w:type="dxa"/>
            <w:noWrap w:val="0"/>
            <w:vAlign w:val="center"/>
          </w:tcPr>
          <w:p>
            <w:pPr>
              <w:spacing w:line="280" w:lineRule="exact"/>
              <w:jc w:val="center"/>
              <w:rPr>
                <w:rFonts w:hint="eastAsia" w:ascii="宋体" w:hAnsi="宋体" w:eastAsia="宋体"/>
                <w:sz w:val="24"/>
                <w:szCs w:val="28"/>
              </w:rPr>
            </w:pPr>
          </w:p>
        </w:tc>
        <w:tc>
          <w:tcPr>
            <w:tcW w:w="1425"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主管部门</w:t>
            </w:r>
          </w:p>
        </w:tc>
        <w:tc>
          <w:tcPr>
            <w:tcW w:w="2520" w:type="dxa"/>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单位地址</w:t>
            </w:r>
          </w:p>
        </w:tc>
        <w:tc>
          <w:tcPr>
            <w:tcW w:w="2818" w:type="dxa"/>
            <w:noWrap w:val="0"/>
            <w:vAlign w:val="center"/>
          </w:tcPr>
          <w:p>
            <w:pPr>
              <w:spacing w:line="280" w:lineRule="exact"/>
              <w:jc w:val="center"/>
              <w:rPr>
                <w:rFonts w:hint="eastAsia" w:ascii="宋体" w:hAnsi="宋体" w:eastAsia="宋体"/>
                <w:sz w:val="24"/>
                <w:szCs w:val="28"/>
              </w:rPr>
            </w:pPr>
          </w:p>
        </w:tc>
        <w:tc>
          <w:tcPr>
            <w:tcW w:w="1425"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单位邮编</w:t>
            </w:r>
          </w:p>
        </w:tc>
        <w:tc>
          <w:tcPr>
            <w:tcW w:w="2520" w:type="dxa"/>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850" w:type="dxa"/>
            <w:vMerge w:val="restart"/>
            <w:noWrap w:val="0"/>
            <w:vAlign w:val="center"/>
          </w:tcPr>
          <w:p>
            <w:pPr>
              <w:tabs>
                <w:tab w:val="left" w:pos="321"/>
              </w:tabs>
              <w:spacing w:line="280" w:lineRule="exact"/>
              <w:jc w:val="center"/>
              <w:rPr>
                <w:rFonts w:hint="eastAsia" w:ascii="宋体" w:hAnsi="宋体" w:eastAsia="宋体"/>
                <w:sz w:val="24"/>
                <w:szCs w:val="28"/>
              </w:rPr>
            </w:pPr>
            <w:r>
              <w:rPr>
                <w:rFonts w:hint="eastAsia" w:ascii="宋体" w:hAnsi="宋体" w:eastAsia="宋体"/>
                <w:sz w:val="24"/>
                <w:szCs w:val="28"/>
              </w:rPr>
              <w:t>接受投资（拟开办）单位</w:t>
            </w: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单位名称</w:t>
            </w:r>
          </w:p>
        </w:tc>
        <w:tc>
          <w:tcPr>
            <w:tcW w:w="2818" w:type="dxa"/>
            <w:noWrap w:val="0"/>
            <w:vAlign w:val="center"/>
          </w:tcPr>
          <w:p>
            <w:pPr>
              <w:spacing w:line="280" w:lineRule="exact"/>
              <w:jc w:val="center"/>
              <w:rPr>
                <w:rFonts w:hint="eastAsia" w:ascii="宋体" w:hAnsi="宋体" w:eastAsia="宋体"/>
                <w:sz w:val="24"/>
                <w:szCs w:val="28"/>
              </w:rPr>
            </w:pPr>
          </w:p>
        </w:tc>
        <w:tc>
          <w:tcPr>
            <w:tcW w:w="1425"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法人代表</w:t>
            </w:r>
          </w:p>
        </w:tc>
        <w:tc>
          <w:tcPr>
            <w:tcW w:w="2520" w:type="dxa"/>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单位地址</w:t>
            </w:r>
          </w:p>
        </w:tc>
        <w:tc>
          <w:tcPr>
            <w:tcW w:w="2818" w:type="dxa"/>
            <w:noWrap w:val="0"/>
            <w:vAlign w:val="center"/>
          </w:tcPr>
          <w:p>
            <w:pPr>
              <w:spacing w:line="280" w:lineRule="exact"/>
              <w:jc w:val="center"/>
              <w:rPr>
                <w:rFonts w:hint="eastAsia" w:ascii="宋体" w:hAnsi="宋体" w:eastAsia="宋体"/>
                <w:sz w:val="24"/>
                <w:szCs w:val="28"/>
              </w:rPr>
            </w:pPr>
          </w:p>
        </w:tc>
        <w:tc>
          <w:tcPr>
            <w:tcW w:w="1425"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组织形式</w:t>
            </w:r>
          </w:p>
        </w:tc>
        <w:tc>
          <w:tcPr>
            <w:tcW w:w="2520" w:type="dxa"/>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50" w:type="dxa"/>
            <w:vMerge w:val="restart"/>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申请转为经营性的资产</w:t>
            </w: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资产来源</w:t>
            </w:r>
          </w:p>
        </w:tc>
        <w:tc>
          <w:tcPr>
            <w:tcW w:w="6763" w:type="dxa"/>
            <w:gridSpan w:val="3"/>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资产总额</w:t>
            </w:r>
          </w:p>
        </w:tc>
        <w:tc>
          <w:tcPr>
            <w:tcW w:w="6763" w:type="dxa"/>
            <w:gridSpan w:val="3"/>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其中：固定资产</w:t>
            </w:r>
          </w:p>
        </w:tc>
        <w:tc>
          <w:tcPr>
            <w:tcW w:w="6763" w:type="dxa"/>
            <w:gridSpan w:val="3"/>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流动资产</w:t>
            </w:r>
          </w:p>
        </w:tc>
        <w:tc>
          <w:tcPr>
            <w:tcW w:w="6763" w:type="dxa"/>
            <w:gridSpan w:val="3"/>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无形资产</w:t>
            </w:r>
          </w:p>
        </w:tc>
        <w:tc>
          <w:tcPr>
            <w:tcW w:w="6763" w:type="dxa"/>
            <w:gridSpan w:val="3"/>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ascii="宋体" w:hAnsi="宋体" w:eastAsia="宋体"/>
                <w:sz w:val="24"/>
                <w:szCs w:val="28"/>
              </w:rPr>
            </w:pPr>
            <w:r>
              <w:rPr>
                <w:rFonts w:hint="eastAsia" w:ascii="宋体" w:hAnsi="宋体" w:eastAsia="宋体"/>
                <w:sz w:val="24"/>
                <w:szCs w:val="28"/>
              </w:rPr>
              <w:t>其他</w:t>
            </w:r>
          </w:p>
        </w:tc>
        <w:tc>
          <w:tcPr>
            <w:tcW w:w="6763" w:type="dxa"/>
            <w:gridSpan w:val="3"/>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1410" w:type="dxa"/>
            <w:noWrap w:val="0"/>
            <w:vAlign w:val="center"/>
          </w:tcPr>
          <w:p>
            <w:pPr>
              <w:spacing w:line="280" w:lineRule="exact"/>
              <w:jc w:val="center"/>
              <w:rPr>
                <w:rFonts w:hint="eastAsia" w:ascii="宋体" w:hAnsi="宋体" w:eastAsia="宋体"/>
                <w:sz w:val="24"/>
                <w:szCs w:val="28"/>
              </w:rPr>
            </w:pPr>
            <w:r>
              <w:rPr>
                <w:rFonts w:hint="eastAsia" w:ascii="宋体" w:hAnsi="宋体" w:eastAsia="宋体"/>
                <w:sz w:val="24"/>
                <w:szCs w:val="28"/>
              </w:rPr>
              <w:t>转经营</w:t>
            </w:r>
          </w:p>
          <w:p>
            <w:pPr>
              <w:spacing w:line="280" w:lineRule="exact"/>
              <w:jc w:val="center"/>
              <w:rPr>
                <w:rFonts w:hint="eastAsia" w:ascii="宋体" w:hAnsi="宋体" w:eastAsia="宋体"/>
                <w:sz w:val="24"/>
                <w:szCs w:val="28"/>
              </w:rPr>
            </w:pPr>
            <w:r>
              <w:rPr>
                <w:rFonts w:hint="eastAsia" w:ascii="宋体" w:hAnsi="宋体" w:eastAsia="宋体"/>
                <w:sz w:val="24"/>
                <w:szCs w:val="28"/>
              </w:rPr>
              <w:t>形式</w:t>
            </w:r>
          </w:p>
        </w:tc>
        <w:tc>
          <w:tcPr>
            <w:tcW w:w="6763" w:type="dxa"/>
            <w:gridSpan w:val="3"/>
            <w:noWrap w:val="0"/>
            <w:vAlign w:val="center"/>
          </w:tcPr>
          <w:p>
            <w:pPr>
              <w:spacing w:line="280" w:lineRule="exact"/>
              <w:jc w:val="center"/>
              <w:rPr>
                <w:rFonts w:hint="eastAsia"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850" w:type="dxa"/>
            <w:vMerge w:val="restart"/>
            <w:noWrap w:val="0"/>
            <w:vAlign w:val="center"/>
          </w:tcPr>
          <w:p>
            <w:pPr>
              <w:spacing w:line="280" w:lineRule="exact"/>
              <w:jc w:val="center"/>
              <w:rPr>
                <w:rFonts w:hint="eastAsia" w:eastAsia="宋体"/>
                <w:sz w:val="24"/>
              </w:rPr>
            </w:pPr>
            <w:r>
              <w:rPr>
                <w:rFonts w:hint="eastAsia" w:eastAsia="宋体"/>
                <w:sz w:val="24"/>
              </w:rPr>
              <w:t>申报理由</w:t>
            </w:r>
          </w:p>
        </w:tc>
        <w:tc>
          <w:tcPr>
            <w:tcW w:w="4228" w:type="dxa"/>
            <w:gridSpan w:val="2"/>
            <w:vMerge w:val="restart"/>
            <w:noWrap w:val="0"/>
            <w:vAlign w:val="center"/>
          </w:tcPr>
          <w:p>
            <w:pPr>
              <w:spacing w:line="280" w:lineRule="exact"/>
              <w:jc w:val="center"/>
              <w:rPr>
                <w:rFonts w:hint="eastAsia" w:ascii="宋体" w:hAnsi="宋体" w:eastAsia="宋体"/>
                <w:sz w:val="24"/>
                <w:szCs w:val="28"/>
              </w:rPr>
            </w:pPr>
          </w:p>
        </w:tc>
        <w:tc>
          <w:tcPr>
            <w:tcW w:w="3945" w:type="dxa"/>
            <w:gridSpan w:val="2"/>
            <w:noWrap w:val="0"/>
            <w:vAlign w:val="center"/>
          </w:tcPr>
          <w:p>
            <w:pPr>
              <w:spacing w:line="280" w:lineRule="exact"/>
              <w:rPr>
                <w:rFonts w:hint="eastAsia" w:ascii="宋体" w:hAnsi="宋体" w:eastAsia="宋体"/>
                <w:sz w:val="24"/>
                <w:szCs w:val="28"/>
              </w:rPr>
            </w:pPr>
            <w:r>
              <w:rPr>
                <w:rFonts w:hint="eastAsia" w:ascii="宋体" w:hAnsi="宋体" w:eastAsia="宋体"/>
                <w:sz w:val="24"/>
                <w:szCs w:val="28"/>
              </w:rPr>
              <w:t>经办人：</w:t>
            </w:r>
          </w:p>
          <w:p>
            <w:pPr>
              <w:spacing w:line="280" w:lineRule="exact"/>
              <w:rPr>
                <w:rFonts w:hint="eastAsia" w:ascii="宋体" w:hAnsi="宋体" w:eastAsia="宋体"/>
                <w:sz w:val="24"/>
                <w:szCs w:val="28"/>
              </w:rPr>
            </w:pPr>
          </w:p>
          <w:p>
            <w:pPr>
              <w:spacing w:line="280" w:lineRule="exact"/>
              <w:rPr>
                <w:rFonts w:hint="eastAsia" w:ascii="宋体" w:hAnsi="宋体" w:eastAsia="宋体"/>
                <w:sz w:val="24"/>
                <w:szCs w:val="28"/>
              </w:rPr>
            </w:pPr>
            <w:r>
              <w:rPr>
                <w:rFonts w:hint="eastAsia" w:ascii="宋体" w:hAnsi="宋体" w:eastAsia="宋体"/>
                <w:sz w:val="24"/>
                <w:szCs w:val="28"/>
              </w:rPr>
              <w:t>电话：</w:t>
            </w:r>
          </w:p>
          <w:p>
            <w:pPr>
              <w:spacing w:line="280" w:lineRule="exact"/>
              <w:rPr>
                <w:rFonts w:hint="eastAsia" w:ascii="宋体" w:hAnsi="宋体" w:eastAsia="宋体"/>
                <w:sz w:val="24"/>
                <w:szCs w:val="28"/>
              </w:rPr>
            </w:pPr>
          </w:p>
          <w:p>
            <w:pPr>
              <w:spacing w:line="280" w:lineRule="exact"/>
              <w:ind w:firstLine="2160" w:firstLineChars="900"/>
              <w:rPr>
                <w:rFonts w:hint="eastAsia" w:ascii="宋体" w:hAnsi="宋体" w:eastAsia="宋体"/>
                <w:sz w:val="24"/>
                <w:szCs w:val="28"/>
              </w:rPr>
            </w:pPr>
            <w:r>
              <w:rPr>
                <w:rFonts w:hint="eastAsia" w:ascii="宋体" w:hAnsi="宋体" w:eastAsia="宋体"/>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850" w:type="dxa"/>
            <w:vMerge w:val="continue"/>
            <w:noWrap w:val="0"/>
            <w:vAlign w:val="center"/>
          </w:tcPr>
          <w:p>
            <w:pPr>
              <w:spacing w:line="280" w:lineRule="exact"/>
              <w:jc w:val="center"/>
              <w:rPr>
                <w:rFonts w:hint="eastAsia" w:ascii="宋体" w:hAnsi="宋体" w:eastAsia="宋体"/>
                <w:sz w:val="24"/>
                <w:szCs w:val="28"/>
              </w:rPr>
            </w:pPr>
          </w:p>
        </w:tc>
        <w:tc>
          <w:tcPr>
            <w:tcW w:w="4228" w:type="dxa"/>
            <w:gridSpan w:val="2"/>
            <w:vMerge w:val="continue"/>
            <w:noWrap w:val="0"/>
            <w:vAlign w:val="center"/>
          </w:tcPr>
          <w:p>
            <w:pPr>
              <w:spacing w:line="280" w:lineRule="exact"/>
              <w:jc w:val="center"/>
              <w:rPr>
                <w:rFonts w:hint="eastAsia" w:ascii="宋体" w:hAnsi="宋体" w:eastAsia="宋体"/>
                <w:sz w:val="24"/>
                <w:szCs w:val="28"/>
              </w:rPr>
            </w:pPr>
          </w:p>
        </w:tc>
        <w:tc>
          <w:tcPr>
            <w:tcW w:w="3945" w:type="dxa"/>
            <w:gridSpan w:val="2"/>
            <w:noWrap w:val="0"/>
            <w:vAlign w:val="bottom"/>
          </w:tcPr>
          <w:p>
            <w:pPr>
              <w:spacing w:line="280" w:lineRule="exact"/>
              <w:rPr>
                <w:rFonts w:hint="eastAsia" w:ascii="宋体" w:hAnsi="宋体" w:eastAsia="宋体"/>
                <w:sz w:val="24"/>
                <w:szCs w:val="28"/>
              </w:rPr>
            </w:pPr>
          </w:p>
          <w:p>
            <w:pPr>
              <w:spacing w:line="280" w:lineRule="exact"/>
              <w:rPr>
                <w:rFonts w:hint="eastAsia" w:ascii="宋体" w:hAnsi="宋体" w:eastAsia="宋体"/>
                <w:sz w:val="24"/>
                <w:szCs w:val="28"/>
              </w:rPr>
            </w:pPr>
            <w:r>
              <w:rPr>
                <w:rFonts w:hint="eastAsia" w:ascii="宋体" w:hAnsi="宋体" w:eastAsia="宋体"/>
                <w:sz w:val="24"/>
                <w:szCs w:val="28"/>
              </w:rPr>
              <w:t>负责人：</w:t>
            </w:r>
          </w:p>
          <w:p>
            <w:pPr>
              <w:spacing w:line="280" w:lineRule="exact"/>
              <w:rPr>
                <w:rFonts w:hint="eastAsia" w:ascii="宋体" w:hAnsi="宋体" w:eastAsia="宋体"/>
                <w:sz w:val="24"/>
                <w:szCs w:val="28"/>
              </w:rPr>
            </w:pPr>
          </w:p>
          <w:p>
            <w:pPr>
              <w:spacing w:line="280" w:lineRule="exact"/>
              <w:rPr>
                <w:rFonts w:hint="eastAsia" w:ascii="宋体" w:hAnsi="宋体" w:eastAsia="宋体"/>
                <w:sz w:val="24"/>
                <w:szCs w:val="28"/>
              </w:rPr>
            </w:pPr>
            <w:r>
              <w:rPr>
                <w:rFonts w:hint="eastAsia" w:ascii="宋体" w:hAnsi="宋体" w:eastAsia="宋体"/>
                <w:sz w:val="24"/>
                <w:szCs w:val="28"/>
              </w:rPr>
              <w:t>（公章）</w:t>
            </w:r>
          </w:p>
          <w:p>
            <w:pPr>
              <w:spacing w:line="280" w:lineRule="exact"/>
              <w:ind w:firstLine="2160" w:firstLineChars="900"/>
              <w:rPr>
                <w:rFonts w:ascii="宋体" w:hAnsi="宋体" w:eastAsia="宋体"/>
                <w:sz w:val="24"/>
                <w:szCs w:val="28"/>
              </w:rPr>
            </w:pPr>
            <w:r>
              <w:rPr>
                <w:rFonts w:hint="eastAsia" w:ascii="宋体" w:hAnsi="宋体" w:eastAsia="宋体"/>
                <w:sz w:val="24"/>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C2F5F"/>
    <w:rsid w:val="0E7C2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2020-12-07T00:45:00Z</dcterms:created>
  <dc:creator>Administrator</dc:creator>
  <cp:lastModifiedBy>Administrator</cp:lastModifiedBy>
  <dcterms:modified xsi:type="dcterms:W3CDTF">2020-12-07T00:45:17Z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