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0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台州科技职业学院国有资产处置管理办法</w:t>
      </w:r>
    </w:p>
    <w:p>
      <w:pPr>
        <w:spacing w:line="300" w:lineRule="auto"/>
        <w:jc w:val="center"/>
        <w:rPr>
          <w:rFonts w:hint="eastAsia" w:ascii="方正小标宋简体" w:hAnsi="方正小标宋简体" w:eastAsia="方正小标宋简体" w:cs="方正小标宋简体"/>
          <w:sz w:val="44"/>
          <w:szCs w:val="44"/>
          <w:lang w:val="zh-CN"/>
        </w:rPr>
      </w:pPr>
    </w:p>
    <w:p>
      <w:pPr>
        <w:widowControl/>
        <w:adjustRightInd w:val="0"/>
        <w:spacing w:before="156" w:beforeLines="50" w:after="156" w:afterLines="50" w:line="510" w:lineRule="exact"/>
        <w:jc w:val="center"/>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第一章  总  则</w:t>
      </w:r>
    </w:p>
    <w:p>
      <w:pPr>
        <w:spacing w:line="510" w:lineRule="exact"/>
        <w:ind w:firstLine="562" w:firstLineChars="200"/>
        <w:rPr>
          <w:rFonts w:hint="eastAsia" w:ascii="宋体" w:hAnsi="宋体" w:cs="宋体"/>
          <w:sz w:val="28"/>
          <w:szCs w:val="28"/>
          <w:lang w:val="zh-CN"/>
        </w:rPr>
      </w:pPr>
      <w:r>
        <w:rPr>
          <w:rFonts w:hint="eastAsia" w:ascii="宋体" w:hAnsi="宋体" w:cs="宋体"/>
          <w:b/>
          <w:bCs/>
          <w:sz w:val="28"/>
          <w:szCs w:val="28"/>
          <w:lang w:val="zh-CN"/>
        </w:rPr>
        <w:t>第一</w:t>
      </w:r>
      <w:r>
        <w:rPr>
          <w:rFonts w:hint="eastAsia" w:ascii="宋体" w:hAnsi="宋体" w:cs="宋体"/>
          <w:b/>
          <w:bCs/>
          <w:kern w:val="0"/>
          <w:sz w:val="28"/>
          <w:szCs w:val="28"/>
          <w:lang w:val="zh-CN"/>
        </w:rPr>
        <w:t>条</w:t>
      </w:r>
      <w:r>
        <w:rPr>
          <w:rFonts w:hint="eastAsia" w:ascii="宋体" w:hAnsi="宋体" w:cs="宋体"/>
          <w:b/>
          <w:bCs/>
          <w:kern w:val="0"/>
          <w:sz w:val="28"/>
          <w:szCs w:val="28"/>
        </w:rPr>
        <w:t xml:space="preserve"> </w:t>
      </w:r>
      <w:r>
        <w:rPr>
          <w:rFonts w:hint="eastAsia" w:ascii="宋体" w:hAnsi="宋体" w:cs="宋体"/>
          <w:sz w:val="28"/>
          <w:szCs w:val="28"/>
        </w:rPr>
        <w:t xml:space="preserve"> 为加强学校国有资产管理，规范国有资产处置行为，根据</w:t>
      </w:r>
      <w:r>
        <w:rPr>
          <w:rFonts w:hint="eastAsia" w:ascii="宋体" w:hAnsi="宋体" w:cs="宋体"/>
          <w:sz w:val="28"/>
          <w:szCs w:val="28"/>
          <w:lang w:val="zh-CN"/>
        </w:rPr>
        <w:t>《关于加强市级行政事业单位国有资产处置管理的通知》</w:t>
      </w:r>
      <w:r>
        <w:rPr>
          <w:rFonts w:hint="eastAsia" w:ascii="宋体" w:hAnsi="宋体" w:cs="宋体"/>
          <w:sz w:val="28"/>
          <w:szCs w:val="28"/>
        </w:rPr>
        <w:t>(</w:t>
      </w:r>
      <w:r>
        <w:rPr>
          <w:rFonts w:hint="eastAsia" w:ascii="宋体" w:hAnsi="宋体" w:cs="宋体"/>
          <w:sz w:val="28"/>
          <w:szCs w:val="28"/>
          <w:lang w:val="zh-CN"/>
        </w:rPr>
        <w:t>台财行发〔2009〕13号</w:t>
      </w:r>
      <w:r>
        <w:rPr>
          <w:rFonts w:hint="eastAsia" w:ascii="宋体" w:hAnsi="宋体" w:cs="宋体"/>
          <w:sz w:val="28"/>
          <w:szCs w:val="28"/>
        </w:rPr>
        <w:t>)、</w:t>
      </w:r>
      <w:r>
        <w:rPr>
          <w:rFonts w:hint="eastAsia" w:ascii="宋体" w:hAnsi="宋体" w:cs="宋体"/>
          <w:sz w:val="28"/>
          <w:szCs w:val="28"/>
          <w:lang w:val="zh-CN"/>
        </w:rPr>
        <w:t>《转发台州市财政局关于台州市本级行政事业单位国有资产管理暂行办法的通知》（台政办发〔201</w:t>
      </w:r>
      <w:r>
        <w:rPr>
          <w:rFonts w:hint="eastAsia" w:ascii="宋体" w:hAnsi="宋体" w:cs="宋体"/>
          <w:sz w:val="28"/>
          <w:szCs w:val="28"/>
        </w:rPr>
        <w:t>0</w:t>
      </w:r>
      <w:r>
        <w:rPr>
          <w:rFonts w:hint="eastAsia" w:ascii="宋体" w:hAnsi="宋体" w:cs="宋体"/>
          <w:sz w:val="28"/>
          <w:szCs w:val="28"/>
          <w:lang w:val="zh-CN"/>
        </w:rPr>
        <w:t>〕1</w:t>
      </w:r>
      <w:r>
        <w:rPr>
          <w:rFonts w:hint="eastAsia" w:ascii="宋体" w:hAnsi="宋体" w:cs="宋体"/>
          <w:sz w:val="28"/>
          <w:szCs w:val="28"/>
        </w:rPr>
        <w:t>33</w:t>
      </w:r>
      <w:r>
        <w:rPr>
          <w:rFonts w:hint="eastAsia" w:ascii="宋体" w:hAnsi="宋体" w:cs="宋体"/>
          <w:sz w:val="28"/>
          <w:szCs w:val="28"/>
          <w:lang w:val="zh-CN"/>
        </w:rPr>
        <w:t>号）、《台州台州市财政局关于调整市本级行政事业单位国有资产处置权限等有关事项的通知》（台财行发〔201</w:t>
      </w:r>
      <w:r>
        <w:rPr>
          <w:rFonts w:hint="eastAsia" w:ascii="宋体" w:hAnsi="宋体" w:cs="宋体"/>
          <w:sz w:val="28"/>
          <w:szCs w:val="28"/>
        </w:rPr>
        <w:t>9</w:t>
      </w: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号）等有关规定，制定本办法。</w:t>
      </w:r>
    </w:p>
    <w:p>
      <w:pPr>
        <w:spacing w:line="51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第二条</w:t>
      </w:r>
      <w:r>
        <w:rPr>
          <w:rFonts w:hint="eastAsia" w:ascii="宋体" w:hAnsi="宋体" w:cs="宋体"/>
          <w:sz w:val="28"/>
          <w:szCs w:val="28"/>
        </w:rPr>
        <w:t xml:space="preserve">  学校国有资产处置，是指学校对其占有、使用的国有资产进行产权转让或注销产权的行为。学校资产处置范围包括：</w:t>
      </w:r>
    </w:p>
    <w:p>
      <w:pPr>
        <w:spacing w:line="510" w:lineRule="exact"/>
        <w:ind w:firstLine="480"/>
        <w:rPr>
          <w:rFonts w:hint="eastAsia" w:ascii="宋体" w:hAnsi="宋体" w:cs="宋体"/>
          <w:sz w:val="28"/>
          <w:szCs w:val="28"/>
        </w:rPr>
      </w:pPr>
      <w:r>
        <w:rPr>
          <w:rFonts w:hint="eastAsia" w:ascii="宋体" w:hAnsi="宋体" w:cs="宋体"/>
          <w:sz w:val="28"/>
          <w:szCs w:val="28"/>
        </w:rPr>
        <w:t>（一）闲置资产；</w:t>
      </w:r>
    </w:p>
    <w:p>
      <w:pPr>
        <w:spacing w:line="510" w:lineRule="exact"/>
        <w:ind w:firstLine="480"/>
        <w:rPr>
          <w:rFonts w:hint="eastAsia" w:ascii="宋体" w:hAnsi="宋体" w:cs="宋体"/>
          <w:sz w:val="28"/>
          <w:szCs w:val="28"/>
        </w:rPr>
      </w:pPr>
      <w:r>
        <w:rPr>
          <w:rFonts w:hint="eastAsia" w:ascii="宋体" w:hAnsi="宋体" w:cs="宋体"/>
          <w:sz w:val="28"/>
          <w:szCs w:val="28"/>
        </w:rPr>
        <w:t>（二）报废淘汰资产；</w:t>
      </w:r>
    </w:p>
    <w:p>
      <w:pPr>
        <w:spacing w:line="510" w:lineRule="exact"/>
        <w:ind w:firstLine="480"/>
        <w:rPr>
          <w:rFonts w:hint="eastAsia" w:ascii="宋体" w:hAnsi="宋体" w:cs="宋体"/>
          <w:sz w:val="28"/>
          <w:szCs w:val="28"/>
        </w:rPr>
      </w:pPr>
      <w:r>
        <w:rPr>
          <w:rFonts w:hint="eastAsia" w:ascii="宋体" w:hAnsi="宋体" w:cs="宋体"/>
          <w:sz w:val="28"/>
          <w:szCs w:val="28"/>
        </w:rPr>
        <w:t>（三）不符合环保节能要求的资产;</w:t>
      </w:r>
    </w:p>
    <w:p>
      <w:pPr>
        <w:spacing w:line="510" w:lineRule="exact"/>
        <w:ind w:firstLine="480"/>
        <w:rPr>
          <w:rFonts w:hint="eastAsia" w:ascii="宋体" w:hAnsi="宋体" w:cs="宋体"/>
          <w:sz w:val="28"/>
          <w:szCs w:val="28"/>
        </w:rPr>
      </w:pPr>
      <w:r>
        <w:rPr>
          <w:rFonts w:hint="eastAsia" w:ascii="宋体" w:hAnsi="宋体" w:cs="宋体"/>
          <w:sz w:val="28"/>
          <w:szCs w:val="28"/>
        </w:rPr>
        <w:t>（四）产权或使用权转移的资产；</w:t>
      </w:r>
    </w:p>
    <w:p>
      <w:pPr>
        <w:spacing w:line="510" w:lineRule="exact"/>
        <w:ind w:firstLine="480"/>
        <w:rPr>
          <w:rFonts w:hint="eastAsia" w:ascii="宋体" w:hAnsi="宋体" w:cs="宋体"/>
          <w:sz w:val="28"/>
          <w:szCs w:val="28"/>
        </w:rPr>
      </w:pPr>
      <w:r>
        <w:rPr>
          <w:rFonts w:hint="eastAsia" w:ascii="宋体" w:hAnsi="宋体" w:cs="宋体"/>
          <w:sz w:val="28"/>
          <w:szCs w:val="28"/>
        </w:rPr>
        <w:t>（五）盘亏、呆账及非正常损失的资产；</w:t>
      </w:r>
    </w:p>
    <w:p>
      <w:pPr>
        <w:spacing w:line="510" w:lineRule="exact"/>
        <w:ind w:firstLine="480"/>
        <w:rPr>
          <w:rFonts w:hint="eastAsia" w:ascii="宋体" w:hAnsi="宋体" w:cs="宋体"/>
          <w:sz w:val="28"/>
          <w:szCs w:val="28"/>
        </w:rPr>
      </w:pPr>
      <w:r>
        <w:rPr>
          <w:rFonts w:hint="eastAsia" w:ascii="宋体" w:hAnsi="宋体" w:cs="宋体"/>
          <w:sz w:val="28"/>
          <w:szCs w:val="28"/>
        </w:rPr>
        <w:t>（六）已超过使用年限无法使用的资产；</w:t>
      </w:r>
    </w:p>
    <w:p>
      <w:pPr>
        <w:spacing w:line="510" w:lineRule="exact"/>
        <w:ind w:firstLine="480"/>
        <w:rPr>
          <w:rFonts w:hint="eastAsia" w:ascii="宋体" w:hAnsi="宋体" w:cs="宋体"/>
          <w:sz w:val="28"/>
          <w:szCs w:val="28"/>
        </w:rPr>
      </w:pPr>
      <w:r>
        <w:rPr>
          <w:rFonts w:hint="eastAsia" w:ascii="宋体" w:hAnsi="宋体" w:cs="宋体"/>
          <w:sz w:val="28"/>
          <w:szCs w:val="28"/>
        </w:rPr>
        <w:t>（七）依照国家有关规定需要处置的其他资产。</w:t>
      </w:r>
    </w:p>
    <w:p>
      <w:pPr>
        <w:spacing w:line="51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第三条</w:t>
      </w:r>
      <w:r>
        <w:rPr>
          <w:rFonts w:hint="eastAsia" w:ascii="宋体" w:hAnsi="宋体" w:cs="宋体"/>
          <w:b/>
          <w:kern w:val="0"/>
          <w:sz w:val="28"/>
          <w:szCs w:val="28"/>
        </w:rPr>
        <w:t xml:space="preserve">  </w:t>
      </w:r>
      <w:r>
        <w:rPr>
          <w:rFonts w:hint="eastAsia" w:ascii="宋体" w:hAnsi="宋体" w:cs="宋体"/>
          <w:bCs/>
          <w:kern w:val="0"/>
          <w:sz w:val="28"/>
          <w:szCs w:val="28"/>
        </w:rPr>
        <w:t>学校</w:t>
      </w:r>
      <w:r>
        <w:rPr>
          <w:rFonts w:hint="eastAsia" w:ascii="宋体" w:hAnsi="宋体" w:cs="宋体"/>
          <w:sz w:val="28"/>
          <w:szCs w:val="28"/>
        </w:rPr>
        <w:t>国有资产处置要按照批准的方式进行，在移交前需确保待处置资产的安全完整。资产处置的具体方式包括：</w:t>
      </w:r>
    </w:p>
    <w:p>
      <w:pPr>
        <w:spacing w:line="510" w:lineRule="exact"/>
        <w:ind w:firstLine="560" w:firstLineChars="200"/>
        <w:rPr>
          <w:rFonts w:hint="eastAsia" w:ascii="宋体" w:hAnsi="宋体" w:cs="宋体"/>
          <w:sz w:val="28"/>
          <w:szCs w:val="28"/>
        </w:rPr>
      </w:pPr>
      <w:r>
        <w:rPr>
          <w:rFonts w:hint="eastAsia" w:ascii="宋体" w:hAnsi="宋体" w:cs="宋体"/>
          <w:sz w:val="28"/>
          <w:szCs w:val="28"/>
        </w:rPr>
        <w:t>（一）无偿调拨；</w:t>
      </w:r>
    </w:p>
    <w:p>
      <w:pPr>
        <w:spacing w:line="510" w:lineRule="exact"/>
        <w:ind w:firstLine="560" w:firstLineChars="200"/>
        <w:rPr>
          <w:rFonts w:hint="eastAsia" w:ascii="宋体" w:hAnsi="宋体" w:cs="宋体"/>
          <w:sz w:val="28"/>
          <w:szCs w:val="28"/>
        </w:rPr>
      </w:pPr>
      <w:r>
        <w:rPr>
          <w:rFonts w:hint="eastAsia" w:ascii="宋体" w:hAnsi="宋体" w:cs="宋体"/>
          <w:sz w:val="28"/>
          <w:szCs w:val="28"/>
        </w:rPr>
        <w:t>（二）对外捐赠；</w:t>
      </w:r>
    </w:p>
    <w:p>
      <w:pPr>
        <w:spacing w:line="510" w:lineRule="exact"/>
        <w:ind w:firstLine="560" w:firstLineChars="200"/>
        <w:rPr>
          <w:rFonts w:hint="eastAsia" w:ascii="宋体" w:hAnsi="宋体" w:cs="宋体"/>
          <w:sz w:val="28"/>
          <w:szCs w:val="28"/>
        </w:rPr>
      </w:pPr>
      <w:r>
        <w:rPr>
          <w:rFonts w:hint="eastAsia" w:ascii="宋体" w:hAnsi="宋体" w:cs="宋体"/>
          <w:sz w:val="28"/>
          <w:szCs w:val="28"/>
        </w:rPr>
        <w:t>（三）有偿转让；</w:t>
      </w:r>
    </w:p>
    <w:p>
      <w:pPr>
        <w:spacing w:line="510" w:lineRule="exact"/>
        <w:ind w:firstLine="560" w:firstLineChars="200"/>
        <w:rPr>
          <w:rFonts w:hint="eastAsia" w:ascii="宋体" w:hAnsi="宋体" w:cs="宋体"/>
          <w:sz w:val="28"/>
          <w:szCs w:val="28"/>
        </w:rPr>
      </w:pPr>
      <w:r>
        <w:rPr>
          <w:rFonts w:hint="eastAsia" w:ascii="宋体" w:hAnsi="宋体" w:cs="宋体"/>
          <w:sz w:val="28"/>
          <w:szCs w:val="28"/>
        </w:rPr>
        <w:t>（四）置换；</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（五）报废报损、货币性资产损失核销等。    </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第四条</w:t>
      </w:r>
      <w:r>
        <w:rPr>
          <w:rFonts w:hint="eastAsia" w:ascii="宋体" w:hAnsi="宋体" w:cs="宋体"/>
          <w:sz w:val="28"/>
          <w:szCs w:val="28"/>
        </w:rPr>
        <w:t xml:space="preserve">  学校国有资产处置应遵循公开、公正、公平的原则，与资产配置及使用相结合，逐步建立资产共享、循环利用的机制。</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第五条</w:t>
      </w:r>
      <w:r>
        <w:rPr>
          <w:rFonts w:hint="eastAsia" w:ascii="宋体" w:hAnsi="宋体" w:cs="宋体"/>
          <w:b/>
          <w:kern w:val="0"/>
          <w:sz w:val="28"/>
          <w:szCs w:val="28"/>
        </w:rPr>
        <w:t xml:space="preserve">  </w:t>
      </w:r>
      <w:r>
        <w:rPr>
          <w:rFonts w:hint="eastAsia" w:ascii="宋体" w:hAnsi="宋体" w:cs="宋体"/>
          <w:sz w:val="28"/>
          <w:szCs w:val="28"/>
        </w:rPr>
        <w:t>学校国有资产处置流程为：由学校使用部门提出申请，国有资产管理处组织论证、评估、技术鉴定和审核后，报学校或</w:t>
      </w:r>
      <w:r>
        <w:rPr>
          <w:rFonts w:hint="eastAsia" w:ascii="宋体" w:hAnsi="宋体" w:cs="宋体"/>
          <w:sz w:val="28"/>
          <w:szCs w:val="28"/>
          <w:lang w:eastAsia="zh-CN"/>
        </w:rPr>
        <w:t>相关部门</w:t>
      </w:r>
      <w:r>
        <w:rPr>
          <w:rFonts w:hint="eastAsia" w:ascii="宋体" w:hAnsi="宋体" w:cs="宋体"/>
          <w:sz w:val="28"/>
          <w:szCs w:val="28"/>
        </w:rPr>
        <w:t>审批处置。</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第六条</w:t>
      </w:r>
      <w:r>
        <w:rPr>
          <w:rFonts w:hint="eastAsia" w:ascii="宋体" w:hAnsi="宋体" w:cs="宋体"/>
          <w:b/>
          <w:kern w:val="0"/>
          <w:sz w:val="28"/>
          <w:szCs w:val="28"/>
        </w:rPr>
        <w:t xml:space="preserve"> </w:t>
      </w:r>
      <w:r>
        <w:rPr>
          <w:rFonts w:hint="eastAsia" w:ascii="宋体" w:hAnsi="宋体" w:cs="宋体"/>
          <w:sz w:val="28"/>
          <w:szCs w:val="28"/>
        </w:rPr>
        <w:t xml:space="preserve"> 学校处置国有资产应严格履行审批手续，未经批准不得擅自处置。国有资产处置事项的批复文件，是新安排有关资产配置项目的参考依据。</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第七条</w:t>
      </w:r>
      <w:r>
        <w:rPr>
          <w:rFonts w:hint="eastAsia" w:ascii="宋体" w:hAnsi="宋体" w:cs="宋体"/>
          <w:b/>
          <w:kern w:val="0"/>
          <w:sz w:val="28"/>
          <w:szCs w:val="28"/>
        </w:rPr>
        <w:t xml:space="preserve"> </w:t>
      </w:r>
      <w:r>
        <w:rPr>
          <w:rFonts w:hint="eastAsia" w:ascii="宋体" w:hAnsi="宋体" w:cs="宋体"/>
          <w:sz w:val="28"/>
          <w:szCs w:val="28"/>
        </w:rPr>
        <w:t xml:space="preserve"> 学校经批准处置的实物资产，除另有特别规定外，统一无偿移交给市属机关非经营性国有资产调剂中心(以下简称“调剂中心”)回收处理。</w:t>
      </w:r>
    </w:p>
    <w:p>
      <w:pPr>
        <w:widowControl/>
        <w:adjustRightInd w:val="0"/>
        <w:spacing w:before="156" w:beforeLines="50" w:after="156" w:afterLines="50" w:line="500" w:lineRule="exact"/>
        <w:jc w:val="center"/>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第二章  无偿调拨和对外捐赠</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第八条</w:t>
      </w:r>
      <w:r>
        <w:rPr>
          <w:rFonts w:hint="eastAsia" w:ascii="宋体" w:hAnsi="宋体" w:cs="宋体"/>
          <w:b/>
          <w:kern w:val="0"/>
          <w:sz w:val="28"/>
          <w:szCs w:val="28"/>
        </w:rPr>
        <w:t xml:space="preserve">  </w:t>
      </w:r>
      <w:r>
        <w:rPr>
          <w:rFonts w:hint="eastAsia" w:ascii="宋体" w:hAnsi="宋体" w:cs="宋体"/>
          <w:sz w:val="28"/>
          <w:szCs w:val="28"/>
        </w:rPr>
        <w:t>无偿调拨是指在不改变国有资产产权性质的前提下，以无偿转让的方式变更国有资产占有权、使用权的行为。</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第九条</w:t>
      </w:r>
      <w:r>
        <w:rPr>
          <w:rFonts w:hint="eastAsia" w:ascii="宋体" w:hAnsi="宋体" w:cs="宋体"/>
          <w:b/>
          <w:kern w:val="0"/>
          <w:sz w:val="28"/>
          <w:szCs w:val="28"/>
        </w:rPr>
        <w:t xml:space="preserve"> </w:t>
      </w:r>
      <w:r>
        <w:rPr>
          <w:rFonts w:hint="eastAsia" w:ascii="宋体" w:hAnsi="宋体" w:cs="宋体"/>
          <w:sz w:val="28"/>
          <w:szCs w:val="28"/>
        </w:rPr>
        <w:t xml:space="preserve"> 无偿调拨的资产包括：</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（一）长期闲置不用的资产；</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（二）低效运转的资产；</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（三）超标准配置的资产；</w:t>
      </w:r>
    </w:p>
    <w:p>
      <w:pPr>
        <w:spacing w:line="500" w:lineRule="exact"/>
        <w:ind w:firstLine="480"/>
        <w:rPr>
          <w:rFonts w:hint="eastAsia" w:ascii="宋体" w:hAnsi="宋体" w:cs="宋体"/>
          <w:sz w:val="28"/>
          <w:szCs w:val="28"/>
        </w:rPr>
      </w:pPr>
      <w:r>
        <w:rPr>
          <w:rFonts w:hint="eastAsia" w:ascii="宋体" w:hAnsi="宋体" w:cs="宋体"/>
          <w:sz w:val="28"/>
          <w:szCs w:val="28"/>
        </w:rPr>
        <w:t>（四）其他需调拨的资产。</w:t>
      </w:r>
    </w:p>
    <w:p>
      <w:pPr>
        <w:spacing w:line="500" w:lineRule="exact"/>
        <w:ind w:firstLine="480"/>
        <w:rPr>
          <w:rFonts w:hint="eastAsia" w:ascii="宋体" w:hAnsi="宋体" w:cs="宋体"/>
          <w:sz w:val="28"/>
          <w:szCs w:val="28"/>
        </w:rPr>
      </w:pPr>
      <w:r>
        <w:rPr>
          <w:rFonts w:hint="eastAsia" w:ascii="宋体" w:hAnsi="宋体" w:cs="宋体"/>
          <w:b/>
          <w:kern w:val="0"/>
          <w:sz w:val="28"/>
          <w:szCs w:val="28"/>
          <w:lang w:val="zh-CN"/>
        </w:rPr>
        <w:t>第十条</w:t>
      </w:r>
      <w:r>
        <w:rPr>
          <w:rFonts w:hint="eastAsia" w:ascii="宋体" w:hAnsi="宋体" w:cs="宋体"/>
          <w:b/>
          <w:kern w:val="0"/>
          <w:sz w:val="28"/>
          <w:szCs w:val="28"/>
        </w:rPr>
        <w:t xml:space="preserve">  </w:t>
      </w:r>
      <w:r>
        <w:rPr>
          <w:rFonts w:hint="eastAsia" w:ascii="宋体" w:hAnsi="宋体" w:cs="宋体"/>
          <w:sz w:val="28"/>
          <w:szCs w:val="28"/>
        </w:rPr>
        <w:t>学校申请国有资产无偿调拨，应提交以下材料：</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（一）无偿调拨申请文件；</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（二）《市级行政事业单位国有资产处置申报审批表》（见附件1）；</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（三）拟无偿调拨资产的价值凭证及产权证明复印件（加盖单位公章）；</w:t>
      </w:r>
    </w:p>
    <w:p>
      <w:pPr>
        <w:spacing w:line="500" w:lineRule="exact"/>
        <w:ind w:firstLine="600"/>
        <w:rPr>
          <w:rFonts w:hint="eastAsia" w:ascii="宋体" w:hAnsi="宋体" w:cs="宋体"/>
          <w:sz w:val="28"/>
          <w:szCs w:val="28"/>
        </w:rPr>
      </w:pPr>
      <w:r>
        <w:rPr>
          <w:rFonts w:hint="eastAsia" w:ascii="宋体" w:hAnsi="宋体" w:cs="宋体"/>
          <w:sz w:val="28"/>
          <w:szCs w:val="28"/>
        </w:rPr>
        <w:t>（四）调入单位相关资产存量和需求情况；</w:t>
      </w:r>
    </w:p>
    <w:p>
      <w:pPr>
        <w:spacing w:line="500" w:lineRule="exact"/>
        <w:ind w:firstLine="600"/>
        <w:rPr>
          <w:rFonts w:hint="eastAsia" w:ascii="宋体" w:hAnsi="宋体" w:cs="宋体"/>
          <w:sz w:val="28"/>
          <w:szCs w:val="28"/>
        </w:rPr>
      </w:pPr>
      <w:r>
        <w:rPr>
          <w:rFonts w:hint="eastAsia" w:ascii="宋体" w:hAnsi="宋体" w:cs="宋体"/>
          <w:sz w:val="28"/>
          <w:szCs w:val="28"/>
        </w:rPr>
        <w:t>（五）其他相关材料。</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第十一条</w:t>
      </w:r>
      <w:r>
        <w:rPr>
          <w:rFonts w:hint="eastAsia" w:ascii="宋体" w:hAnsi="宋体" w:cs="宋体"/>
          <w:b/>
          <w:kern w:val="0"/>
          <w:sz w:val="28"/>
          <w:szCs w:val="28"/>
        </w:rPr>
        <w:t xml:space="preserve">  </w:t>
      </w:r>
      <w:r>
        <w:rPr>
          <w:rFonts w:hint="eastAsia" w:ascii="宋体" w:hAnsi="宋体" w:cs="宋体"/>
          <w:sz w:val="28"/>
          <w:szCs w:val="28"/>
        </w:rPr>
        <w:t>学校无偿调拨的审批权限：</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学校无偿调拨（属于下列情形之一，即学校与其他行政事业单位之间的资产调拨或学校资产调拨给非行政事业单位）单项原值15万元以下的固定资产（不含房屋及构筑物）、无形资产（不含土地使用权）、存货（单批）,经学校</w:t>
      </w:r>
      <w:r>
        <w:rPr>
          <w:rFonts w:hint="eastAsia" w:ascii="宋体" w:hAnsi="宋体" w:cs="宋体"/>
          <w:sz w:val="28"/>
          <w:szCs w:val="28"/>
          <w:lang w:eastAsia="zh-CN"/>
        </w:rPr>
        <w:t>国有资产管理领导小组审议，校长办公会议批准</w:t>
      </w:r>
      <w:r>
        <w:rPr>
          <w:rFonts w:hint="eastAsia" w:ascii="宋体" w:hAnsi="宋体" w:cs="宋体"/>
          <w:sz w:val="28"/>
          <w:szCs w:val="28"/>
        </w:rPr>
        <w:t>，填报《市级行政事业单位国有资产处置申报表》（见附件1），报</w:t>
      </w:r>
      <w:r>
        <w:rPr>
          <w:rFonts w:hint="eastAsia" w:ascii="宋体" w:hAnsi="宋体" w:cs="宋体"/>
          <w:sz w:val="28"/>
          <w:szCs w:val="28"/>
          <w:lang w:eastAsia="zh-CN"/>
        </w:rPr>
        <w:t>主管部门</w:t>
      </w:r>
      <w:r>
        <w:rPr>
          <w:rFonts w:hint="eastAsia" w:ascii="宋体" w:hAnsi="宋体" w:cs="宋体"/>
          <w:sz w:val="28"/>
          <w:szCs w:val="28"/>
        </w:rPr>
        <w:t>审批。单项原值15万元（含15万元）以上的，经学校</w:t>
      </w:r>
      <w:r>
        <w:rPr>
          <w:rFonts w:hint="eastAsia" w:ascii="宋体" w:hAnsi="宋体" w:cs="宋体"/>
          <w:sz w:val="28"/>
          <w:szCs w:val="28"/>
          <w:lang w:eastAsia="zh-CN"/>
        </w:rPr>
        <w:t>国有资产管理领导小组审议，按审批权限，经党委会议或校长办公会议</w:t>
      </w:r>
      <w:r>
        <w:rPr>
          <w:rFonts w:hint="eastAsia" w:ascii="宋体" w:hAnsi="宋体" w:cs="宋体"/>
          <w:sz w:val="28"/>
          <w:szCs w:val="28"/>
        </w:rPr>
        <w:t>批准，报</w:t>
      </w:r>
      <w:r>
        <w:rPr>
          <w:rFonts w:hint="eastAsia" w:ascii="宋体" w:hAnsi="宋体" w:cs="宋体"/>
          <w:sz w:val="28"/>
          <w:szCs w:val="28"/>
          <w:lang w:eastAsia="zh-CN"/>
        </w:rPr>
        <w:t>主管部门</w:t>
      </w:r>
      <w:r>
        <w:rPr>
          <w:rFonts w:hint="eastAsia" w:ascii="宋体" w:hAnsi="宋体" w:cs="宋体"/>
          <w:sz w:val="28"/>
          <w:szCs w:val="28"/>
        </w:rPr>
        <w:t>审核，再报</w:t>
      </w:r>
      <w:r>
        <w:rPr>
          <w:rFonts w:hint="eastAsia" w:ascii="宋体" w:hAnsi="宋体" w:cs="宋体"/>
          <w:sz w:val="28"/>
          <w:szCs w:val="28"/>
          <w:lang w:eastAsia="zh-CN"/>
        </w:rPr>
        <w:t>台州市财政</w:t>
      </w:r>
      <w:r>
        <w:rPr>
          <w:rFonts w:hint="eastAsia" w:ascii="宋体" w:hAnsi="宋体" w:cs="宋体"/>
          <w:sz w:val="28"/>
          <w:szCs w:val="28"/>
        </w:rPr>
        <w:t>局审批。</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第十二条</w:t>
      </w:r>
      <w:r>
        <w:rPr>
          <w:rFonts w:hint="eastAsia" w:ascii="宋体" w:hAnsi="宋体" w:cs="宋体"/>
          <w:sz w:val="28"/>
          <w:szCs w:val="28"/>
        </w:rPr>
        <w:t xml:space="preserve">  对外捐赠是指学校自愿无偿将其有权处分的合法财产赠予合法的受赠人的行为，包括：实物资产捐赠、无形资产捐赠和货币性资产捐赠等。对外捐赠只限于公益性捐赠和救济性捐赠。</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第十三条</w:t>
      </w:r>
      <w:r>
        <w:rPr>
          <w:rFonts w:hint="eastAsia" w:ascii="宋体" w:hAnsi="宋体" w:cs="宋体"/>
          <w:sz w:val="28"/>
          <w:szCs w:val="28"/>
        </w:rPr>
        <w:t xml:space="preserve">  学校国有资产对外捐赠，应提交以下材料：</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（一）对外捐赠申请文件，包括捐赠事由、途径、方式、责任人、资产构成及其数额、交接程序等；</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（二）《市级行政事业单位国有资产处置申报审批表》；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（三）学校出具的捐赠事项对本校财务状况和业务活动影响的分析报告；使用货币资金对外捐赠的，还需提供货币资金的来源说明等；</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（四）学校决定捐赠事项的有关文件；</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（五）能够证明捐赠资产价值的有效凭证复印件（加盖单位公章）；</w:t>
      </w:r>
    </w:p>
    <w:p>
      <w:pPr>
        <w:spacing w:line="500" w:lineRule="exact"/>
        <w:ind w:firstLine="600"/>
        <w:rPr>
          <w:rFonts w:hint="eastAsia" w:ascii="宋体" w:hAnsi="宋体" w:cs="宋体"/>
          <w:sz w:val="28"/>
          <w:szCs w:val="28"/>
        </w:rPr>
      </w:pPr>
      <w:r>
        <w:rPr>
          <w:rFonts w:hint="eastAsia" w:ascii="宋体" w:hAnsi="宋体" w:cs="宋体"/>
          <w:sz w:val="28"/>
          <w:szCs w:val="28"/>
        </w:rPr>
        <w:t>（六）受赠方的基本情况和草拟的捐赠协议；</w:t>
      </w:r>
    </w:p>
    <w:p>
      <w:pPr>
        <w:spacing w:line="500" w:lineRule="exact"/>
        <w:ind w:firstLine="600"/>
        <w:rPr>
          <w:rFonts w:hint="eastAsia" w:ascii="宋体" w:hAnsi="宋体" w:cs="宋体"/>
          <w:sz w:val="28"/>
          <w:szCs w:val="28"/>
        </w:rPr>
      </w:pPr>
      <w:r>
        <w:rPr>
          <w:rFonts w:hint="eastAsia" w:ascii="宋体" w:hAnsi="宋体" w:cs="宋体"/>
          <w:sz w:val="28"/>
          <w:szCs w:val="28"/>
        </w:rPr>
        <w:t>（七）其他相关材料。</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第十四条</w:t>
      </w:r>
      <w:r>
        <w:rPr>
          <w:rFonts w:hint="eastAsia" w:ascii="宋体" w:hAnsi="宋体" w:cs="宋体"/>
          <w:b/>
          <w:kern w:val="0"/>
          <w:sz w:val="28"/>
          <w:szCs w:val="28"/>
        </w:rPr>
        <w:t xml:space="preserve">  </w:t>
      </w:r>
      <w:r>
        <w:rPr>
          <w:rFonts w:hint="eastAsia" w:ascii="宋体" w:hAnsi="宋体" w:cs="宋体"/>
          <w:sz w:val="28"/>
          <w:szCs w:val="28"/>
        </w:rPr>
        <w:t>学校对外捐赠资产的审批权限：</w:t>
      </w:r>
    </w:p>
    <w:p>
      <w:pPr>
        <w:spacing w:line="500" w:lineRule="exact"/>
        <w:ind w:firstLine="560" w:firstLineChars="200"/>
        <w:rPr>
          <w:rFonts w:hint="eastAsia" w:ascii="宋体" w:hAnsi="宋体" w:cs="宋体"/>
          <w:b/>
          <w:bCs/>
          <w:sz w:val="28"/>
          <w:szCs w:val="28"/>
        </w:rPr>
      </w:pPr>
      <w:r>
        <w:rPr>
          <w:rFonts w:hint="eastAsia" w:ascii="宋体" w:hAnsi="宋体" w:cs="宋体"/>
          <w:sz w:val="28"/>
          <w:szCs w:val="28"/>
        </w:rPr>
        <w:t>单笔金额3万元以下的对外捐赠，由学校</w:t>
      </w:r>
      <w:r>
        <w:rPr>
          <w:rFonts w:hint="eastAsia" w:ascii="宋体" w:hAnsi="宋体" w:cs="宋体"/>
          <w:sz w:val="28"/>
          <w:szCs w:val="28"/>
          <w:lang w:eastAsia="zh-CN"/>
        </w:rPr>
        <w:t>国有资产管理领导小组审议，</w:t>
      </w:r>
      <w:r>
        <w:rPr>
          <w:rFonts w:hint="eastAsia" w:ascii="宋体" w:hAnsi="宋体" w:cs="宋体"/>
          <w:sz w:val="28"/>
          <w:szCs w:val="28"/>
        </w:rPr>
        <w:t>校长</w:t>
      </w:r>
      <w:r>
        <w:rPr>
          <w:rFonts w:hint="eastAsia" w:ascii="宋体" w:hAnsi="宋体" w:cs="宋体"/>
          <w:sz w:val="28"/>
          <w:szCs w:val="28"/>
          <w:lang w:eastAsia="zh-CN"/>
        </w:rPr>
        <w:t>办公会议</w:t>
      </w:r>
      <w:r>
        <w:rPr>
          <w:rFonts w:hint="eastAsia" w:ascii="宋体" w:hAnsi="宋体" w:cs="宋体"/>
          <w:sz w:val="28"/>
          <w:szCs w:val="28"/>
        </w:rPr>
        <w:t>批准，报</w:t>
      </w:r>
      <w:r>
        <w:rPr>
          <w:rFonts w:hint="eastAsia" w:ascii="宋体" w:hAnsi="宋体" w:cs="宋体"/>
          <w:sz w:val="28"/>
          <w:szCs w:val="28"/>
          <w:lang w:eastAsia="zh-CN"/>
        </w:rPr>
        <w:t>主管部门</w:t>
      </w:r>
      <w:r>
        <w:rPr>
          <w:rFonts w:hint="eastAsia" w:ascii="宋体" w:hAnsi="宋体" w:cs="宋体"/>
          <w:sz w:val="28"/>
          <w:szCs w:val="28"/>
        </w:rPr>
        <w:t>审批；单笔金额3万元以上（含3万元）的，经学校</w:t>
      </w:r>
      <w:r>
        <w:rPr>
          <w:rFonts w:hint="eastAsia" w:ascii="宋体" w:hAnsi="宋体" w:cs="宋体"/>
          <w:sz w:val="28"/>
          <w:szCs w:val="28"/>
          <w:lang w:eastAsia="zh-CN"/>
        </w:rPr>
        <w:t>国有资产管理领导小组审议，按管理权限，由党委会议或校长办公会议</w:t>
      </w:r>
      <w:r>
        <w:rPr>
          <w:rFonts w:hint="eastAsia" w:ascii="宋体" w:hAnsi="宋体" w:cs="宋体"/>
          <w:sz w:val="28"/>
          <w:szCs w:val="28"/>
        </w:rPr>
        <w:t>批准，</w:t>
      </w:r>
      <w:r>
        <w:rPr>
          <w:rFonts w:hint="eastAsia" w:ascii="宋体" w:hAnsi="宋体" w:cs="宋体"/>
          <w:sz w:val="28"/>
          <w:szCs w:val="28"/>
          <w:lang w:eastAsia="zh-CN"/>
        </w:rPr>
        <w:t>主管部门</w:t>
      </w:r>
      <w:r>
        <w:rPr>
          <w:rFonts w:hint="eastAsia" w:ascii="宋体" w:hAnsi="宋体" w:cs="宋体"/>
          <w:sz w:val="28"/>
          <w:szCs w:val="28"/>
        </w:rPr>
        <w:t>审核后报</w:t>
      </w:r>
      <w:r>
        <w:rPr>
          <w:rFonts w:hint="eastAsia" w:ascii="宋体" w:hAnsi="宋体" w:cs="宋体"/>
          <w:sz w:val="28"/>
          <w:szCs w:val="28"/>
          <w:lang w:eastAsia="zh-CN"/>
        </w:rPr>
        <w:t>台州市财政</w:t>
      </w:r>
      <w:r>
        <w:rPr>
          <w:rFonts w:hint="eastAsia" w:ascii="宋体" w:hAnsi="宋体" w:cs="宋体"/>
          <w:sz w:val="28"/>
          <w:szCs w:val="28"/>
        </w:rPr>
        <w:t>局审批。</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第十五条</w:t>
      </w:r>
      <w:r>
        <w:rPr>
          <w:rFonts w:hint="eastAsia" w:ascii="宋体" w:hAnsi="宋体" w:cs="宋体"/>
          <w:b/>
          <w:kern w:val="0"/>
          <w:sz w:val="28"/>
          <w:szCs w:val="28"/>
        </w:rPr>
        <w:t xml:space="preserve"> </w:t>
      </w:r>
      <w:r>
        <w:rPr>
          <w:rFonts w:hint="eastAsia" w:ascii="宋体" w:hAnsi="宋体" w:cs="宋体"/>
          <w:sz w:val="28"/>
          <w:szCs w:val="28"/>
        </w:rPr>
        <w:t xml:space="preserve"> 无偿调拨或对外捐赠资产经审批同意后，交接双方需办理资产移交手续，并将移交接收材料报送</w:t>
      </w:r>
      <w:r>
        <w:rPr>
          <w:rFonts w:hint="eastAsia" w:ascii="宋体" w:hAnsi="宋体" w:cs="宋体"/>
          <w:sz w:val="28"/>
          <w:szCs w:val="28"/>
          <w:lang w:eastAsia="zh-CN"/>
        </w:rPr>
        <w:t>台州市财政</w:t>
      </w:r>
      <w:r>
        <w:rPr>
          <w:rFonts w:hint="eastAsia" w:ascii="宋体" w:hAnsi="宋体" w:cs="宋体"/>
          <w:sz w:val="28"/>
          <w:szCs w:val="28"/>
        </w:rPr>
        <w:t>局。</w:t>
      </w:r>
      <w:r>
        <w:rPr>
          <w:rFonts w:hint="eastAsia" w:ascii="宋体" w:hAnsi="宋体" w:cs="宋体"/>
          <w:sz w:val="28"/>
          <w:szCs w:val="28"/>
          <w:lang w:eastAsia="zh-CN"/>
        </w:rPr>
        <w:t>台州市财政</w:t>
      </w:r>
      <w:r>
        <w:rPr>
          <w:rFonts w:hint="eastAsia" w:ascii="宋体" w:hAnsi="宋体" w:cs="宋体"/>
          <w:sz w:val="28"/>
          <w:szCs w:val="28"/>
        </w:rPr>
        <w:t>局据此下达资产处置批复文件。对跨级次无偿调拨或捐赠国有资产的，资产处置批复文件抄送接收学校同级财政部门。</w:t>
      </w:r>
    </w:p>
    <w:p>
      <w:pPr>
        <w:widowControl/>
        <w:adjustRightInd w:val="0"/>
        <w:spacing w:before="156" w:beforeLines="50" w:after="156" w:afterLines="50" w:line="500" w:lineRule="exact"/>
        <w:jc w:val="center"/>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第三章  有偿转让和置换</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第十六条</w:t>
      </w:r>
      <w:r>
        <w:rPr>
          <w:rFonts w:hint="eastAsia" w:ascii="宋体" w:hAnsi="宋体" w:cs="宋体"/>
          <w:b/>
          <w:kern w:val="0"/>
          <w:sz w:val="28"/>
          <w:szCs w:val="28"/>
        </w:rPr>
        <w:t xml:space="preserve"> </w:t>
      </w:r>
      <w:r>
        <w:rPr>
          <w:rFonts w:hint="eastAsia" w:ascii="宋体" w:hAnsi="宋体" w:cs="宋体"/>
          <w:sz w:val="28"/>
          <w:szCs w:val="28"/>
        </w:rPr>
        <w:t xml:space="preserve">有偿转让是指变更学校国有资产所有权或占有权、使用权并取得相应收益的行为。   </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第十七条</w:t>
      </w:r>
      <w:r>
        <w:rPr>
          <w:rFonts w:hint="eastAsia" w:ascii="宋体" w:hAnsi="宋体" w:cs="宋体"/>
          <w:sz w:val="28"/>
          <w:szCs w:val="28"/>
        </w:rPr>
        <w:t xml:space="preserve"> 学校申请有偿转让国有资产，应提交以下材料：</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（一）有偿转让申请文件；</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（二）《市级行政事业单位国有资产处置申报审批表》；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（三）资产价值凭证及产权证明的复印件（加盖单位公章）；</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（四）有偿转让方案，包括资产的基本情况，处置的原因、方式等；</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（五）其他相关材料。</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第十八条</w:t>
      </w:r>
      <w:r>
        <w:rPr>
          <w:rFonts w:hint="eastAsia" w:ascii="宋体" w:hAnsi="宋体" w:cs="宋体"/>
          <w:sz w:val="28"/>
          <w:szCs w:val="28"/>
        </w:rPr>
        <w:t xml:space="preserve"> 置换是以非货币性资产为主进行的交换。</w:t>
      </w:r>
    </w:p>
    <w:p>
      <w:pPr>
        <w:spacing w:line="500" w:lineRule="exact"/>
        <w:ind w:left="559" w:leftChars="266"/>
        <w:rPr>
          <w:rFonts w:hint="eastAsia" w:ascii="宋体" w:hAnsi="宋体" w:cs="宋体"/>
          <w:sz w:val="28"/>
          <w:szCs w:val="28"/>
        </w:rPr>
      </w:pPr>
      <w:r>
        <w:rPr>
          <w:rFonts w:hint="eastAsia" w:ascii="宋体" w:hAnsi="宋体" w:cs="宋体"/>
          <w:b/>
          <w:kern w:val="0"/>
          <w:sz w:val="28"/>
          <w:szCs w:val="28"/>
          <w:lang w:val="zh-CN"/>
        </w:rPr>
        <w:t>第十九条</w:t>
      </w:r>
      <w:r>
        <w:rPr>
          <w:rFonts w:hint="eastAsia" w:ascii="宋体" w:hAnsi="宋体" w:cs="宋体"/>
          <w:b/>
          <w:kern w:val="0"/>
          <w:sz w:val="28"/>
          <w:szCs w:val="28"/>
        </w:rPr>
        <w:t xml:space="preserve"> </w:t>
      </w:r>
      <w:r>
        <w:rPr>
          <w:rFonts w:hint="eastAsia" w:ascii="宋体" w:hAnsi="宋体" w:cs="宋体"/>
          <w:sz w:val="28"/>
          <w:szCs w:val="28"/>
        </w:rPr>
        <w:t>学校申请国有资产置换应提交以下材料：</w:t>
      </w:r>
      <w:r>
        <w:rPr>
          <w:rFonts w:hint="eastAsia" w:ascii="宋体" w:hAnsi="宋体" w:cs="宋体"/>
          <w:sz w:val="28"/>
          <w:szCs w:val="28"/>
        </w:rPr>
        <w:br w:type="textWrapping"/>
      </w:r>
      <w:r>
        <w:rPr>
          <w:rFonts w:hint="eastAsia" w:ascii="宋体" w:hAnsi="宋体" w:cs="宋体"/>
          <w:sz w:val="28"/>
          <w:szCs w:val="28"/>
        </w:rPr>
        <w:t>（一）置换申请文件；</w:t>
      </w:r>
    </w:p>
    <w:p>
      <w:pPr>
        <w:spacing w:line="500" w:lineRule="exact"/>
        <w:ind w:left="559" w:leftChars="266"/>
        <w:rPr>
          <w:rFonts w:hint="eastAsia" w:ascii="宋体" w:hAnsi="宋体" w:cs="宋体"/>
          <w:sz w:val="28"/>
          <w:szCs w:val="28"/>
        </w:rPr>
      </w:pPr>
      <w:r>
        <w:rPr>
          <w:rFonts w:hint="eastAsia" w:ascii="宋体" w:hAnsi="宋体" w:cs="宋体"/>
          <w:sz w:val="28"/>
          <w:szCs w:val="28"/>
        </w:rPr>
        <w:t>（二）《市级行政事业单位国有资产处置申报审批表》；</w:t>
      </w:r>
    </w:p>
    <w:p>
      <w:pPr>
        <w:spacing w:line="500" w:lineRule="exact"/>
        <w:ind w:left="559" w:leftChars="266"/>
        <w:rPr>
          <w:rFonts w:hint="eastAsia" w:ascii="宋体" w:hAnsi="宋体" w:cs="宋体"/>
          <w:sz w:val="28"/>
          <w:szCs w:val="28"/>
        </w:rPr>
      </w:pPr>
      <w:r>
        <w:rPr>
          <w:rFonts w:hint="eastAsia" w:ascii="宋体" w:hAnsi="宋体" w:cs="宋体"/>
          <w:sz w:val="28"/>
          <w:szCs w:val="28"/>
        </w:rPr>
        <w:t>（三）资产价值凭证及产权证明复印件（加盖单位公章）；</w:t>
      </w:r>
    </w:p>
    <w:p>
      <w:pPr>
        <w:spacing w:line="500" w:lineRule="exact"/>
        <w:ind w:left="559" w:leftChars="266"/>
        <w:rPr>
          <w:rFonts w:hint="eastAsia" w:ascii="宋体" w:hAnsi="宋体" w:cs="宋体"/>
          <w:sz w:val="28"/>
          <w:szCs w:val="28"/>
        </w:rPr>
      </w:pPr>
      <w:r>
        <w:rPr>
          <w:rFonts w:hint="eastAsia" w:ascii="宋体" w:hAnsi="宋体" w:cs="宋体"/>
          <w:sz w:val="28"/>
          <w:szCs w:val="28"/>
        </w:rPr>
        <w:t>（四）对方单位拟用于置换资产的基本情况说明；</w:t>
      </w:r>
    </w:p>
    <w:p>
      <w:pPr>
        <w:spacing w:line="500" w:lineRule="exact"/>
        <w:ind w:left="559" w:leftChars="266"/>
        <w:rPr>
          <w:rFonts w:hint="eastAsia" w:ascii="宋体" w:hAnsi="宋体" w:cs="宋体"/>
          <w:sz w:val="28"/>
          <w:szCs w:val="28"/>
        </w:rPr>
      </w:pPr>
      <w:r>
        <w:rPr>
          <w:rFonts w:hint="eastAsia" w:ascii="宋体" w:hAnsi="宋体" w:cs="宋体"/>
          <w:sz w:val="28"/>
          <w:szCs w:val="28"/>
        </w:rPr>
        <w:t>（五）双方草签的置换协议；</w:t>
      </w:r>
    </w:p>
    <w:p>
      <w:pPr>
        <w:spacing w:line="510" w:lineRule="exact"/>
        <w:ind w:left="559" w:leftChars="266"/>
        <w:rPr>
          <w:rFonts w:hint="eastAsia" w:ascii="宋体" w:hAnsi="宋体" w:cs="宋体"/>
          <w:sz w:val="28"/>
          <w:szCs w:val="28"/>
        </w:rPr>
      </w:pPr>
      <w:r>
        <w:rPr>
          <w:rFonts w:hint="eastAsia" w:ascii="宋体" w:hAnsi="宋体" w:cs="宋体"/>
          <w:sz w:val="28"/>
          <w:szCs w:val="28"/>
        </w:rPr>
        <w:t>（六）对方单位的法人证书或营业执照的复印件（加盖单位公章）；</w:t>
      </w:r>
    </w:p>
    <w:p>
      <w:pPr>
        <w:spacing w:line="510" w:lineRule="exact"/>
        <w:ind w:left="559" w:leftChars="266"/>
        <w:rPr>
          <w:rFonts w:hint="eastAsia" w:ascii="宋体" w:hAnsi="宋体" w:cs="宋体"/>
          <w:sz w:val="28"/>
          <w:szCs w:val="28"/>
        </w:rPr>
      </w:pPr>
      <w:r>
        <w:rPr>
          <w:rFonts w:hint="eastAsia" w:ascii="宋体" w:hAnsi="宋体" w:cs="宋体"/>
          <w:sz w:val="28"/>
          <w:szCs w:val="28"/>
        </w:rPr>
        <w:t>（七）学校近期的财务报告；</w:t>
      </w:r>
    </w:p>
    <w:p>
      <w:pPr>
        <w:spacing w:line="510" w:lineRule="exact"/>
        <w:ind w:left="559" w:leftChars="266"/>
        <w:rPr>
          <w:rFonts w:hint="eastAsia" w:ascii="宋体" w:hAnsi="宋体" w:cs="宋体"/>
          <w:sz w:val="28"/>
          <w:szCs w:val="28"/>
        </w:rPr>
      </w:pPr>
      <w:r>
        <w:rPr>
          <w:rFonts w:hint="eastAsia" w:ascii="宋体" w:hAnsi="宋体" w:cs="宋体"/>
          <w:sz w:val="28"/>
          <w:szCs w:val="28"/>
        </w:rPr>
        <w:t>（八）其他相关材料。</w:t>
      </w:r>
    </w:p>
    <w:p>
      <w:pPr>
        <w:spacing w:line="51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第二十条</w:t>
      </w:r>
      <w:r>
        <w:rPr>
          <w:rFonts w:hint="eastAsia" w:ascii="宋体" w:hAnsi="宋体" w:cs="宋体"/>
          <w:sz w:val="28"/>
          <w:szCs w:val="28"/>
        </w:rPr>
        <w:t xml:space="preserve">  有偿转让和置换资产的审批权限</w:t>
      </w:r>
    </w:p>
    <w:p>
      <w:pPr>
        <w:spacing w:line="510" w:lineRule="exact"/>
        <w:ind w:firstLine="560" w:firstLineChars="200"/>
        <w:rPr>
          <w:rFonts w:hint="eastAsia" w:ascii="宋体" w:hAnsi="宋体" w:cs="宋体"/>
          <w:sz w:val="28"/>
          <w:szCs w:val="28"/>
        </w:rPr>
      </w:pPr>
      <w:r>
        <w:rPr>
          <w:rFonts w:hint="eastAsia" w:ascii="宋体" w:hAnsi="宋体" w:cs="宋体"/>
          <w:sz w:val="28"/>
          <w:szCs w:val="28"/>
        </w:rPr>
        <w:t>（一）有偿转让和置换单项原值15万元以下的固定资产（不含房屋及构筑物）、无形资产（不含土地使用权）、存货（单批）,经学校</w:t>
      </w:r>
      <w:r>
        <w:rPr>
          <w:rFonts w:hint="eastAsia" w:ascii="宋体" w:hAnsi="宋体" w:cs="宋体"/>
          <w:sz w:val="28"/>
          <w:szCs w:val="28"/>
          <w:lang w:eastAsia="zh-CN"/>
        </w:rPr>
        <w:t>国有资产管理领导小组审议，校长办公会议</w:t>
      </w:r>
      <w:r>
        <w:rPr>
          <w:rFonts w:hint="eastAsia" w:ascii="宋体" w:hAnsi="宋体" w:cs="宋体"/>
          <w:sz w:val="28"/>
          <w:szCs w:val="28"/>
        </w:rPr>
        <w:t>批准，报</w:t>
      </w:r>
      <w:r>
        <w:rPr>
          <w:rFonts w:hint="eastAsia" w:ascii="宋体" w:hAnsi="宋体" w:cs="宋体"/>
          <w:sz w:val="28"/>
          <w:szCs w:val="28"/>
          <w:lang w:eastAsia="zh-CN"/>
        </w:rPr>
        <w:t>主管部门</w:t>
      </w:r>
      <w:r>
        <w:rPr>
          <w:rFonts w:hint="eastAsia" w:ascii="宋体" w:hAnsi="宋体" w:cs="宋体"/>
          <w:sz w:val="28"/>
          <w:szCs w:val="28"/>
        </w:rPr>
        <w:t>审批；单项原值15万元（含15万元）以上的，经学校</w:t>
      </w:r>
      <w:r>
        <w:rPr>
          <w:rFonts w:hint="eastAsia" w:ascii="宋体" w:hAnsi="宋体" w:cs="宋体"/>
          <w:sz w:val="28"/>
          <w:szCs w:val="28"/>
          <w:lang w:eastAsia="zh-CN"/>
        </w:rPr>
        <w:t>国有资产管理领导小组审议，按审批权限，经党委会议或校长办公会议批准</w:t>
      </w:r>
      <w:r>
        <w:rPr>
          <w:rFonts w:hint="eastAsia" w:ascii="宋体" w:hAnsi="宋体" w:cs="宋体"/>
          <w:sz w:val="28"/>
          <w:szCs w:val="28"/>
        </w:rPr>
        <w:t>后，报</w:t>
      </w:r>
      <w:r>
        <w:rPr>
          <w:rFonts w:hint="eastAsia" w:ascii="宋体" w:hAnsi="宋体" w:cs="宋体"/>
          <w:sz w:val="28"/>
          <w:szCs w:val="28"/>
          <w:lang w:eastAsia="zh-CN"/>
        </w:rPr>
        <w:t>主管部门</w:t>
      </w:r>
      <w:r>
        <w:rPr>
          <w:rFonts w:hint="eastAsia" w:ascii="宋体" w:hAnsi="宋体" w:cs="宋体"/>
          <w:sz w:val="28"/>
          <w:szCs w:val="28"/>
        </w:rPr>
        <w:t>审核</w:t>
      </w:r>
      <w:r>
        <w:rPr>
          <w:rFonts w:hint="eastAsia" w:ascii="宋体" w:hAnsi="宋体" w:cs="宋体"/>
          <w:sz w:val="28"/>
          <w:szCs w:val="28"/>
          <w:lang w:eastAsia="zh-CN"/>
        </w:rPr>
        <w:t>，</w:t>
      </w:r>
      <w:r>
        <w:rPr>
          <w:rFonts w:hint="eastAsia" w:ascii="宋体" w:hAnsi="宋体" w:cs="宋体"/>
          <w:sz w:val="28"/>
          <w:szCs w:val="28"/>
        </w:rPr>
        <w:t>再报</w:t>
      </w:r>
      <w:r>
        <w:rPr>
          <w:rFonts w:hint="eastAsia" w:ascii="宋体" w:hAnsi="宋体" w:cs="宋体"/>
          <w:sz w:val="28"/>
          <w:szCs w:val="28"/>
          <w:lang w:eastAsia="zh-CN"/>
        </w:rPr>
        <w:t>台州市财政</w:t>
      </w:r>
      <w:r>
        <w:rPr>
          <w:rFonts w:hint="eastAsia" w:ascii="宋体" w:hAnsi="宋体" w:cs="宋体"/>
          <w:sz w:val="28"/>
          <w:szCs w:val="28"/>
        </w:rPr>
        <w:t>局审批。</w:t>
      </w:r>
    </w:p>
    <w:p>
      <w:pPr>
        <w:spacing w:line="510" w:lineRule="exact"/>
        <w:ind w:firstLine="560" w:firstLineChars="200"/>
        <w:rPr>
          <w:rFonts w:hint="eastAsia" w:ascii="宋体" w:hAnsi="宋体" w:cs="宋体"/>
          <w:b/>
          <w:kern w:val="0"/>
          <w:sz w:val="28"/>
          <w:szCs w:val="28"/>
          <w:lang w:val="zh-CN"/>
        </w:rPr>
      </w:pPr>
      <w:r>
        <w:rPr>
          <w:rFonts w:hint="eastAsia" w:ascii="宋体" w:hAnsi="宋体" w:cs="宋体"/>
          <w:sz w:val="28"/>
          <w:szCs w:val="28"/>
        </w:rPr>
        <w:t>（二）有偿转让和置换房屋建筑物、土地使用权、股权的，经学校</w:t>
      </w:r>
      <w:r>
        <w:rPr>
          <w:rFonts w:hint="eastAsia" w:ascii="宋体" w:hAnsi="宋体" w:cs="宋体"/>
          <w:sz w:val="28"/>
          <w:szCs w:val="28"/>
          <w:lang w:eastAsia="zh-CN"/>
        </w:rPr>
        <w:t>国有资产管理领导小组</w:t>
      </w:r>
      <w:r>
        <w:rPr>
          <w:rFonts w:hint="eastAsia" w:ascii="宋体" w:hAnsi="宋体" w:cs="宋体"/>
          <w:sz w:val="28"/>
          <w:szCs w:val="28"/>
        </w:rPr>
        <w:t>审议，按</w:t>
      </w:r>
      <w:r>
        <w:rPr>
          <w:rFonts w:hint="eastAsia" w:ascii="宋体" w:hAnsi="宋体" w:cs="宋体"/>
          <w:sz w:val="28"/>
          <w:szCs w:val="28"/>
          <w:lang w:eastAsia="zh-CN"/>
        </w:rPr>
        <w:t>审批</w:t>
      </w:r>
      <w:r>
        <w:rPr>
          <w:rFonts w:hint="eastAsia" w:ascii="宋体" w:hAnsi="宋体" w:cs="宋体"/>
          <w:sz w:val="28"/>
          <w:szCs w:val="28"/>
        </w:rPr>
        <w:t>权限</w:t>
      </w:r>
      <w:r>
        <w:rPr>
          <w:rFonts w:hint="eastAsia" w:ascii="宋体" w:hAnsi="宋体" w:cs="宋体"/>
          <w:sz w:val="28"/>
          <w:szCs w:val="28"/>
          <w:lang w:eastAsia="zh-CN"/>
        </w:rPr>
        <w:t>，</w:t>
      </w:r>
      <w:r>
        <w:rPr>
          <w:rFonts w:hint="eastAsia" w:ascii="宋体" w:hAnsi="宋体" w:cs="宋体"/>
          <w:sz w:val="28"/>
          <w:szCs w:val="28"/>
        </w:rPr>
        <w:t>经</w:t>
      </w:r>
      <w:r>
        <w:rPr>
          <w:rFonts w:hint="eastAsia" w:ascii="宋体" w:hAnsi="宋体" w:cs="宋体"/>
          <w:sz w:val="28"/>
          <w:szCs w:val="28"/>
          <w:lang w:eastAsia="zh-CN"/>
        </w:rPr>
        <w:t>党委会议</w:t>
      </w:r>
      <w:r>
        <w:rPr>
          <w:rFonts w:hint="eastAsia" w:ascii="宋体" w:hAnsi="宋体" w:cs="宋体"/>
          <w:sz w:val="28"/>
          <w:szCs w:val="28"/>
        </w:rPr>
        <w:t>或校长</w:t>
      </w:r>
      <w:r>
        <w:rPr>
          <w:rFonts w:hint="eastAsia" w:ascii="宋体" w:hAnsi="宋体" w:cs="宋体"/>
          <w:sz w:val="28"/>
          <w:szCs w:val="28"/>
          <w:lang w:eastAsia="zh-CN"/>
        </w:rPr>
        <w:t>办公会议</w:t>
      </w:r>
      <w:r>
        <w:rPr>
          <w:rFonts w:hint="eastAsia" w:ascii="宋体" w:hAnsi="宋体" w:cs="宋体"/>
          <w:sz w:val="28"/>
          <w:szCs w:val="28"/>
        </w:rPr>
        <w:t>批准，报</w:t>
      </w:r>
      <w:r>
        <w:rPr>
          <w:rFonts w:hint="eastAsia" w:ascii="宋体" w:hAnsi="宋体" w:cs="宋体"/>
          <w:sz w:val="28"/>
          <w:szCs w:val="28"/>
          <w:lang w:eastAsia="zh-CN"/>
        </w:rPr>
        <w:t>主管部门</w:t>
      </w:r>
      <w:r>
        <w:rPr>
          <w:rFonts w:hint="eastAsia" w:ascii="宋体" w:hAnsi="宋体" w:cs="宋体"/>
          <w:sz w:val="28"/>
          <w:szCs w:val="28"/>
        </w:rPr>
        <w:t>审核后</w:t>
      </w:r>
      <w:r>
        <w:rPr>
          <w:rFonts w:hint="eastAsia" w:ascii="宋体" w:hAnsi="宋体" w:cs="宋体"/>
          <w:sz w:val="28"/>
          <w:szCs w:val="28"/>
          <w:lang w:eastAsia="zh-CN"/>
        </w:rPr>
        <w:t>，</w:t>
      </w:r>
      <w:r>
        <w:rPr>
          <w:rFonts w:hint="eastAsia" w:ascii="宋体" w:hAnsi="宋体" w:cs="宋体"/>
          <w:sz w:val="28"/>
          <w:szCs w:val="28"/>
        </w:rPr>
        <w:t>再报</w:t>
      </w:r>
      <w:r>
        <w:rPr>
          <w:rFonts w:hint="eastAsia" w:ascii="宋体" w:hAnsi="宋体" w:cs="宋体"/>
          <w:sz w:val="28"/>
          <w:szCs w:val="28"/>
          <w:lang w:eastAsia="zh-CN"/>
        </w:rPr>
        <w:t>台州市财政</w:t>
      </w:r>
      <w:r>
        <w:rPr>
          <w:rFonts w:hint="eastAsia" w:ascii="宋体" w:hAnsi="宋体" w:cs="宋体"/>
          <w:sz w:val="28"/>
          <w:szCs w:val="28"/>
        </w:rPr>
        <w:t>局审批。</w:t>
      </w:r>
    </w:p>
    <w:p>
      <w:pPr>
        <w:spacing w:line="51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第二十一条</w:t>
      </w:r>
      <w:r>
        <w:rPr>
          <w:rFonts w:hint="eastAsia" w:ascii="宋体" w:hAnsi="宋体" w:cs="宋体"/>
          <w:b/>
          <w:kern w:val="0"/>
          <w:sz w:val="28"/>
          <w:szCs w:val="28"/>
        </w:rPr>
        <w:t xml:space="preserve">  </w:t>
      </w:r>
      <w:r>
        <w:rPr>
          <w:rFonts w:hint="eastAsia" w:ascii="宋体" w:hAnsi="宋体" w:cs="宋体"/>
          <w:sz w:val="28"/>
          <w:szCs w:val="28"/>
        </w:rPr>
        <w:t>有偿转让和置换资产经</w:t>
      </w:r>
      <w:r>
        <w:rPr>
          <w:rFonts w:hint="eastAsia" w:ascii="宋体" w:hAnsi="宋体" w:cs="宋体"/>
          <w:sz w:val="28"/>
          <w:szCs w:val="28"/>
          <w:lang w:eastAsia="zh-CN"/>
        </w:rPr>
        <w:t>台州市财政</w:t>
      </w:r>
      <w:r>
        <w:rPr>
          <w:rFonts w:hint="eastAsia" w:ascii="宋体" w:hAnsi="宋体" w:cs="宋体"/>
          <w:sz w:val="28"/>
          <w:szCs w:val="28"/>
        </w:rPr>
        <w:t>局审核同意后，需要评估的，必须委托具有资产评估资质的评估机构对国有资产进行评估，评估结果报</w:t>
      </w:r>
      <w:r>
        <w:rPr>
          <w:rFonts w:hint="eastAsia" w:ascii="宋体" w:hAnsi="宋体" w:cs="宋体"/>
          <w:sz w:val="28"/>
          <w:szCs w:val="28"/>
          <w:lang w:eastAsia="zh-CN"/>
        </w:rPr>
        <w:t>台州市财政</w:t>
      </w:r>
      <w:r>
        <w:rPr>
          <w:rFonts w:hint="eastAsia" w:ascii="宋体" w:hAnsi="宋体" w:cs="宋体"/>
          <w:sz w:val="28"/>
          <w:szCs w:val="28"/>
        </w:rPr>
        <w:t>局备案或核准。学校国有资产有偿转让，以</w:t>
      </w:r>
      <w:r>
        <w:rPr>
          <w:rFonts w:hint="eastAsia" w:ascii="宋体" w:hAnsi="宋体" w:cs="宋体"/>
          <w:sz w:val="28"/>
          <w:szCs w:val="28"/>
          <w:lang w:eastAsia="zh-CN"/>
        </w:rPr>
        <w:t>台州市财政</w:t>
      </w:r>
      <w:r>
        <w:rPr>
          <w:rFonts w:hint="eastAsia" w:ascii="宋体" w:hAnsi="宋体" w:cs="宋体"/>
          <w:sz w:val="28"/>
          <w:szCs w:val="28"/>
        </w:rPr>
        <w:t>局备案或核准的资产评估报告所确认的评估价值作为市场竞价依据。</w:t>
      </w:r>
    </w:p>
    <w:p>
      <w:pPr>
        <w:spacing w:line="51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第二十二条</w:t>
      </w:r>
      <w:r>
        <w:rPr>
          <w:rFonts w:hint="eastAsia" w:ascii="宋体" w:hAnsi="宋体" w:cs="宋体"/>
          <w:b/>
          <w:kern w:val="0"/>
          <w:sz w:val="28"/>
          <w:szCs w:val="28"/>
        </w:rPr>
        <w:t xml:space="preserve">  </w:t>
      </w:r>
      <w:r>
        <w:rPr>
          <w:rFonts w:hint="eastAsia" w:ascii="宋体" w:hAnsi="宋体" w:cs="宋体"/>
          <w:sz w:val="28"/>
          <w:szCs w:val="28"/>
        </w:rPr>
        <w:t>学校按照公开、公平、公正的原则，委托经财政部门确认的具有资质的社会中介机构采取拍卖等公开竞价方式进行，确实无法采取公开竞价方式转让的，应按规定审批权限报经批准后可采取其他方式进行。拟确定转让资产交易底价低于评估价时，应当暂停交易，并按规定审批权限报经批准后方可继续进行。</w:t>
      </w:r>
    </w:p>
    <w:p>
      <w:pPr>
        <w:spacing w:line="51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第二十三条</w:t>
      </w:r>
      <w:r>
        <w:rPr>
          <w:rFonts w:hint="eastAsia" w:ascii="宋体" w:hAnsi="宋体" w:cs="宋体"/>
          <w:b/>
          <w:kern w:val="0"/>
          <w:sz w:val="28"/>
          <w:szCs w:val="28"/>
        </w:rPr>
        <w:t xml:space="preserve">  </w:t>
      </w:r>
      <w:r>
        <w:rPr>
          <w:rFonts w:hint="eastAsia" w:ascii="宋体" w:hAnsi="宋体" w:cs="宋体"/>
          <w:sz w:val="28"/>
          <w:szCs w:val="28"/>
        </w:rPr>
        <w:t>学校有偿转让和置换资产结束后须将相关合同、协议等能证明交易结果的材料报送</w:t>
      </w:r>
      <w:r>
        <w:rPr>
          <w:rFonts w:hint="eastAsia" w:ascii="宋体" w:hAnsi="宋体" w:cs="宋体"/>
          <w:sz w:val="28"/>
          <w:szCs w:val="28"/>
          <w:lang w:eastAsia="zh-CN"/>
        </w:rPr>
        <w:t>台州市财政</w:t>
      </w:r>
      <w:r>
        <w:rPr>
          <w:rFonts w:hint="eastAsia" w:ascii="宋体" w:hAnsi="宋体" w:cs="宋体"/>
          <w:sz w:val="28"/>
          <w:szCs w:val="28"/>
        </w:rPr>
        <w:t>局，</w:t>
      </w:r>
      <w:r>
        <w:rPr>
          <w:rFonts w:hint="eastAsia" w:ascii="宋体" w:hAnsi="宋体" w:cs="宋体"/>
          <w:sz w:val="28"/>
          <w:szCs w:val="28"/>
          <w:lang w:eastAsia="zh-CN"/>
        </w:rPr>
        <w:t>待台州市财政</w:t>
      </w:r>
      <w:r>
        <w:rPr>
          <w:rFonts w:hint="eastAsia" w:ascii="宋体" w:hAnsi="宋体" w:cs="宋体"/>
          <w:sz w:val="28"/>
          <w:szCs w:val="28"/>
        </w:rPr>
        <w:t>局下达资产处置批复文件。</w:t>
      </w:r>
    </w:p>
    <w:p>
      <w:pPr>
        <w:widowControl/>
        <w:adjustRightInd w:val="0"/>
        <w:spacing w:before="156" w:beforeLines="50" w:after="156" w:afterLines="50" w:line="510" w:lineRule="exact"/>
        <w:jc w:val="center"/>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第四章</w:t>
      </w:r>
      <w:r>
        <w:rPr>
          <w:rFonts w:hint="eastAsia" w:ascii="黑体" w:hAnsi="黑体" w:eastAsia="黑体" w:cs="黑体"/>
          <w:bCs/>
          <w:kern w:val="0"/>
          <w:sz w:val="28"/>
          <w:szCs w:val="28"/>
        </w:rPr>
        <w:t xml:space="preserve"> </w:t>
      </w:r>
      <w:r>
        <w:rPr>
          <w:rFonts w:hint="eastAsia" w:ascii="黑体" w:hAnsi="黑体" w:eastAsia="黑体" w:cs="黑体"/>
          <w:bCs/>
          <w:kern w:val="0"/>
          <w:sz w:val="28"/>
          <w:szCs w:val="28"/>
          <w:lang w:val="zh-CN"/>
        </w:rPr>
        <w:t xml:space="preserve"> 报废</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第二十四条</w:t>
      </w:r>
      <w:r>
        <w:rPr>
          <w:rFonts w:hint="eastAsia" w:ascii="宋体" w:hAnsi="宋体" w:cs="宋体"/>
          <w:b/>
          <w:kern w:val="0"/>
          <w:sz w:val="28"/>
          <w:szCs w:val="28"/>
        </w:rPr>
        <w:t xml:space="preserve"> </w:t>
      </w:r>
      <w:r>
        <w:rPr>
          <w:rFonts w:hint="eastAsia" w:ascii="宋体" w:hAnsi="宋体" w:cs="宋体"/>
          <w:sz w:val="28"/>
          <w:szCs w:val="28"/>
        </w:rPr>
        <w:t xml:space="preserve"> 资产报废是指固定资产已达到规定使用年限而出现老化、损坏、市场型号淘汰、维护使用成本过高等，经技术鉴定或按有关规定，已不能继续使用，进行产权注销的行为。</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第二十五条</w:t>
      </w:r>
      <w:r>
        <w:rPr>
          <w:rFonts w:hint="eastAsia" w:ascii="宋体" w:hAnsi="宋体" w:cs="宋体"/>
          <w:sz w:val="28"/>
          <w:szCs w:val="28"/>
        </w:rPr>
        <w:t xml:space="preserve">  资产报废需由学校使用部门提出申请，填报《台州科技职业学院国有资产处置申报表》（见附件2），国有资产管理处负责组织论证、评估、技术鉴定和审核后，经学校</w:t>
      </w:r>
      <w:r>
        <w:rPr>
          <w:rFonts w:hint="eastAsia" w:ascii="宋体" w:hAnsi="宋体" w:cs="宋体"/>
          <w:sz w:val="28"/>
          <w:szCs w:val="28"/>
          <w:lang w:eastAsia="zh-CN"/>
        </w:rPr>
        <w:t>国有资产管理领导小组</w:t>
      </w:r>
      <w:r>
        <w:rPr>
          <w:rFonts w:hint="eastAsia" w:ascii="宋体" w:hAnsi="宋体" w:cs="宋体"/>
          <w:sz w:val="28"/>
          <w:szCs w:val="28"/>
        </w:rPr>
        <w:t>审议，按</w:t>
      </w:r>
      <w:r>
        <w:rPr>
          <w:rFonts w:hint="eastAsia" w:ascii="宋体" w:hAnsi="宋体" w:cs="宋体"/>
          <w:sz w:val="28"/>
          <w:szCs w:val="28"/>
          <w:lang w:eastAsia="zh-CN"/>
        </w:rPr>
        <w:t>管理</w:t>
      </w:r>
      <w:r>
        <w:rPr>
          <w:rFonts w:hint="eastAsia" w:ascii="宋体" w:hAnsi="宋体" w:cs="宋体"/>
          <w:sz w:val="28"/>
          <w:szCs w:val="28"/>
        </w:rPr>
        <w:t>权限报学校或</w:t>
      </w:r>
      <w:r>
        <w:rPr>
          <w:rFonts w:hint="eastAsia" w:ascii="宋体" w:hAnsi="宋体" w:cs="宋体"/>
          <w:sz w:val="28"/>
          <w:szCs w:val="28"/>
          <w:lang w:eastAsia="zh-CN"/>
        </w:rPr>
        <w:t>市各级部门</w:t>
      </w:r>
      <w:r>
        <w:rPr>
          <w:rFonts w:hint="eastAsia" w:ascii="宋体" w:hAnsi="宋体" w:cs="宋体"/>
          <w:sz w:val="28"/>
          <w:szCs w:val="28"/>
        </w:rPr>
        <w:t>审批处置。未经批准不得自行处置。</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第二十六条</w:t>
      </w:r>
      <w:r>
        <w:rPr>
          <w:rFonts w:hint="eastAsia" w:ascii="宋体" w:hAnsi="宋体" w:cs="宋体"/>
          <w:sz w:val="28"/>
          <w:szCs w:val="28"/>
        </w:rPr>
        <w:t xml:space="preserve">  报废资产的审批权限：</w:t>
      </w:r>
    </w:p>
    <w:p>
      <w:pPr>
        <w:numPr>
          <w:ilvl w:val="0"/>
          <w:numId w:val="1"/>
        </w:numPr>
        <w:spacing w:line="500" w:lineRule="exact"/>
        <w:ind w:firstLine="480"/>
        <w:rPr>
          <w:rFonts w:hint="eastAsia" w:ascii="宋体" w:hAnsi="宋体" w:cs="宋体"/>
          <w:sz w:val="28"/>
          <w:szCs w:val="28"/>
        </w:rPr>
      </w:pPr>
      <w:r>
        <w:rPr>
          <w:rFonts w:hint="eastAsia" w:ascii="宋体" w:hAnsi="宋体" w:cs="宋体"/>
          <w:sz w:val="28"/>
          <w:szCs w:val="28"/>
        </w:rPr>
        <w:t>已达到规定使用年限且应淘汰的固定资产（不含房屋及构筑物）报废和无形资产（不含土地使用权）核销以及科技成果的转化处置，由学校按内控制度规定自行审批。学校</w:t>
      </w:r>
      <w:r>
        <w:rPr>
          <w:rFonts w:hint="eastAsia" w:ascii="宋体" w:hAnsi="宋体" w:cs="宋体"/>
          <w:sz w:val="28"/>
          <w:szCs w:val="28"/>
          <w:lang w:eastAsia="zh-CN"/>
        </w:rPr>
        <w:t>国有资产管理领导小组审议，按审批权限，由党委会议或校长办公会议</w:t>
      </w:r>
      <w:r>
        <w:rPr>
          <w:rFonts w:hint="eastAsia" w:ascii="宋体" w:hAnsi="宋体" w:cs="宋体"/>
          <w:sz w:val="28"/>
          <w:szCs w:val="28"/>
        </w:rPr>
        <w:t>批准。其中，资产使用年限参照《政府会计准则》应用指南中的常用固定资产使用年限（见附件3）执行。</w:t>
      </w:r>
    </w:p>
    <w:p>
      <w:pPr>
        <w:numPr>
          <w:ilvl w:val="0"/>
          <w:numId w:val="1"/>
        </w:numPr>
        <w:spacing w:line="500" w:lineRule="exact"/>
        <w:ind w:firstLine="480"/>
        <w:rPr>
          <w:rFonts w:hint="eastAsia" w:ascii="宋体" w:hAnsi="宋体" w:cs="宋体"/>
          <w:sz w:val="28"/>
          <w:szCs w:val="28"/>
        </w:rPr>
      </w:pPr>
      <w:r>
        <w:rPr>
          <w:rFonts w:hint="eastAsia" w:ascii="宋体" w:hAnsi="宋体" w:cs="宋体"/>
          <w:sz w:val="28"/>
          <w:szCs w:val="28"/>
        </w:rPr>
        <w:t>未达到规定使用年限但需淘汰的固定资产（不含房屋及构筑物）报废和无形资产（不含土地使用权）核销以及科技成果的转化处置，其中单项原值15万元以下的固定资产、无形资产、存货（单批）等资产处置,由学校</w:t>
      </w:r>
      <w:r>
        <w:rPr>
          <w:rFonts w:hint="eastAsia" w:ascii="宋体" w:hAnsi="宋体" w:cs="宋体"/>
          <w:sz w:val="28"/>
          <w:szCs w:val="28"/>
          <w:lang w:eastAsia="zh-CN"/>
        </w:rPr>
        <w:t>国有资产管理领导小组审议，按审批权限，经校长办公会议</w:t>
      </w:r>
      <w:r>
        <w:rPr>
          <w:rFonts w:hint="eastAsia" w:ascii="宋体" w:hAnsi="宋体" w:cs="宋体"/>
          <w:sz w:val="28"/>
          <w:szCs w:val="28"/>
        </w:rPr>
        <w:t>批准，填报《市级行政事业单位国有资产处置申报审批表》（见附件3），报</w:t>
      </w:r>
      <w:r>
        <w:rPr>
          <w:rFonts w:hint="eastAsia" w:ascii="宋体" w:hAnsi="宋体" w:cs="宋体"/>
          <w:sz w:val="28"/>
          <w:szCs w:val="28"/>
          <w:lang w:eastAsia="zh-CN"/>
        </w:rPr>
        <w:t>主管部门</w:t>
      </w:r>
      <w:r>
        <w:rPr>
          <w:rFonts w:hint="eastAsia" w:ascii="宋体" w:hAnsi="宋体" w:cs="宋体"/>
          <w:sz w:val="28"/>
          <w:szCs w:val="28"/>
        </w:rPr>
        <w:t>审批。</w:t>
      </w:r>
    </w:p>
    <w:p>
      <w:pPr>
        <w:numPr>
          <w:ilvl w:val="0"/>
          <w:numId w:val="1"/>
        </w:numPr>
        <w:spacing w:line="500" w:lineRule="exact"/>
        <w:ind w:firstLine="480"/>
        <w:rPr>
          <w:rFonts w:hint="eastAsia" w:ascii="宋体" w:hAnsi="宋体" w:cs="宋体"/>
          <w:sz w:val="28"/>
          <w:szCs w:val="28"/>
        </w:rPr>
      </w:pPr>
      <w:r>
        <w:rPr>
          <w:rFonts w:hint="eastAsia" w:ascii="宋体" w:hAnsi="宋体" w:cs="宋体"/>
          <w:sz w:val="28"/>
          <w:szCs w:val="28"/>
        </w:rPr>
        <w:t>未达到规定使用年限但需淘汰的固定资产（不含房屋及构筑物）报废和无形资产（不含土地使用权）核销以及科技成果的转化处置，其中单项原值15万元以上（含15万元）的固定资产、无形资产、存货（单批）等资产处置,由学校</w:t>
      </w:r>
      <w:r>
        <w:rPr>
          <w:rFonts w:hint="eastAsia" w:ascii="宋体" w:hAnsi="宋体" w:cs="宋体"/>
          <w:sz w:val="28"/>
          <w:szCs w:val="28"/>
          <w:lang w:eastAsia="zh-CN"/>
        </w:rPr>
        <w:t>国有资产管理领导小组审议，按审批权限，经党委会议或校长办公会议</w:t>
      </w:r>
      <w:r>
        <w:rPr>
          <w:rFonts w:hint="eastAsia" w:ascii="宋体" w:hAnsi="宋体" w:cs="宋体"/>
          <w:sz w:val="28"/>
          <w:szCs w:val="28"/>
        </w:rPr>
        <w:t>批准，填报《市级行政事业单位国有资产处置申报审批表》，报</w:t>
      </w:r>
      <w:r>
        <w:rPr>
          <w:rFonts w:hint="eastAsia" w:ascii="宋体" w:hAnsi="宋体" w:cs="宋体"/>
          <w:sz w:val="28"/>
          <w:szCs w:val="28"/>
          <w:lang w:eastAsia="zh-CN"/>
        </w:rPr>
        <w:t>主管部门</w:t>
      </w:r>
      <w:r>
        <w:rPr>
          <w:rFonts w:hint="eastAsia" w:ascii="宋体" w:hAnsi="宋体" w:cs="宋体"/>
          <w:sz w:val="28"/>
          <w:szCs w:val="28"/>
        </w:rPr>
        <w:t>审核后再报</w:t>
      </w:r>
      <w:r>
        <w:rPr>
          <w:rFonts w:hint="eastAsia" w:ascii="宋体" w:hAnsi="宋体" w:cs="宋体"/>
          <w:sz w:val="28"/>
          <w:szCs w:val="28"/>
          <w:lang w:eastAsia="zh-CN"/>
        </w:rPr>
        <w:t>台州市财政</w:t>
      </w:r>
      <w:r>
        <w:rPr>
          <w:rFonts w:hint="eastAsia" w:ascii="宋体" w:hAnsi="宋体" w:cs="宋体"/>
          <w:sz w:val="28"/>
          <w:szCs w:val="28"/>
        </w:rPr>
        <w:t>局审批。</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（四）涉及房屋及构筑物、土地使用权、股权处置的，由学校</w:t>
      </w:r>
      <w:r>
        <w:rPr>
          <w:rFonts w:hint="eastAsia" w:ascii="宋体" w:hAnsi="宋体" w:cs="宋体"/>
          <w:sz w:val="28"/>
          <w:szCs w:val="28"/>
          <w:lang w:eastAsia="zh-CN"/>
        </w:rPr>
        <w:t>国有资产管理领导小组审议，按审批权限，经党委会议或校长办公会议</w:t>
      </w:r>
      <w:r>
        <w:rPr>
          <w:rFonts w:hint="eastAsia" w:ascii="宋体" w:hAnsi="宋体" w:cs="宋体"/>
          <w:sz w:val="28"/>
          <w:szCs w:val="28"/>
        </w:rPr>
        <w:t>批准，</w:t>
      </w:r>
      <w:r>
        <w:rPr>
          <w:rFonts w:hint="eastAsia" w:ascii="宋体" w:hAnsi="宋体" w:cs="宋体"/>
          <w:sz w:val="28"/>
          <w:szCs w:val="28"/>
          <w:lang w:eastAsia="zh-CN"/>
        </w:rPr>
        <w:t>主管部门</w:t>
      </w:r>
      <w:r>
        <w:rPr>
          <w:rFonts w:hint="eastAsia" w:ascii="宋体" w:hAnsi="宋体" w:cs="宋体"/>
          <w:sz w:val="28"/>
          <w:szCs w:val="28"/>
        </w:rPr>
        <w:t>审核后报</w:t>
      </w:r>
      <w:r>
        <w:rPr>
          <w:rFonts w:hint="eastAsia" w:ascii="宋体" w:hAnsi="宋体" w:cs="宋体"/>
          <w:sz w:val="28"/>
          <w:szCs w:val="28"/>
          <w:lang w:eastAsia="zh-CN"/>
        </w:rPr>
        <w:t>台州市财政</w:t>
      </w:r>
      <w:r>
        <w:rPr>
          <w:rFonts w:hint="eastAsia" w:ascii="宋体" w:hAnsi="宋体" w:cs="宋体"/>
          <w:sz w:val="28"/>
          <w:szCs w:val="28"/>
        </w:rPr>
        <w:t>局审批。</w:t>
      </w:r>
    </w:p>
    <w:p>
      <w:pPr>
        <w:spacing w:line="500" w:lineRule="exact"/>
        <w:ind w:firstLine="562" w:firstLineChars="200"/>
        <w:rPr>
          <w:rFonts w:hint="eastAsia" w:ascii="宋体" w:hAnsi="宋体" w:cs="宋体"/>
          <w:sz w:val="28"/>
          <w:szCs w:val="28"/>
        </w:rPr>
      </w:pPr>
      <w:r>
        <w:rPr>
          <w:rFonts w:hint="eastAsia" w:ascii="宋体" w:hAnsi="宋体" w:cs="宋体"/>
          <w:b/>
          <w:kern w:val="0"/>
          <w:sz w:val="28"/>
          <w:szCs w:val="28"/>
          <w:lang w:val="zh-CN"/>
        </w:rPr>
        <w:t>第二十七条</w:t>
      </w:r>
      <w:r>
        <w:rPr>
          <w:rFonts w:hint="eastAsia" w:ascii="宋体" w:hAnsi="宋体" w:cs="宋体"/>
          <w:sz w:val="28"/>
          <w:szCs w:val="28"/>
        </w:rPr>
        <w:t xml:space="preserve">  学校申请报废资产应提交以下材料：</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（一）报废申请文件，其中：涉及大型贵重仪器设备报废的，需同时附《台州科技职业学院大型贵重仪器设备报废鉴定表》（见附件4）；</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（二）《市级行政事业单位国有资产处置申报审批表》；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（三）拟报废资产的权属证明；</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（四）证明资产价值的有效凭证复印件（加盖单位公章）；</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（五）资产清单、状况说明；</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（六）国家和省市有关资产使用期限的规定；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七）没有规定使用年限或未达到规定使用年限需报废的固定资产，财政部门经审核认为需进行科学技术鉴定的，应提供技术鉴定机构出具的鉴定报告；现有技术鉴定机构无法进行鉴定的，应提供资产近两年维修记录和维修费用凭单；</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（八）其他相关材料。</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第二十八条</w:t>
      </w:r>
      <w:r>
        <w:rPr>
          <w:rFonts w:hint="eastAsia" w:ascii="宋体" w:hAnsi="宋体" w:cs="宋体"/>
          <w:sz w:val="28"/>
          <w:szCs w:val="28"/>
        </w:rPr>
        <w:t xml:space="preserve">  学校资产报废（有特殊管理要求的除外）实行集中处置。市调剂中心负责承办学校国有资产集中处置具体事务。</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 xml:space="preserve">第二十九条  </w:t>
      </w:r>
      <w:r>
        <w:rPr>
          <w:rFonts w:hint="eastAsia" w:ascii="宋体" w:hAnsi="宋体" w:cs="宋体"/>
          <w:sz w:val="28"/>
          <w:szCs w:val="28"/>
        </w:rPr>
        <w:t>学校</w:t>
      </w:r>
      <w:r>
        <w:rPr>
          <w:rFonts w:hint="eastAsia" w:ascii="宋体" w:hAnsi="宋体" w:cs="宋体"/>
          <w:sz w:val="28"/>
          <w:szCs w:val="28"/>
          <w:lang w:eastAsia="zh-CN"/>
        </w:rPr>
        <w:t>国有资产管理处及相关部门</w:t>
      </w:r>
      <w:r>
        <w:rPr>
          <w:rFonts w:hint="eastAsia" w:ascii="宋体" w:hAnsi="宋体" w:cs="宋体"/>
          <w:sz w:val="28"/>
          <w:szCs w:val="28"/>
        </w:rPr>
        <w:t>需配合市调剂中心做好处置资产回收工作，及时与调剂中心联系、沟通，办理资产移交手续，并确保移交的实物资产与批准处置的实物资产相一致。经交接双方填写《市级行政事业单位国有资产移交表》（见附件5）并核对确认后，学校通过“资产云”管理软件打印资产核销单。对于市调剂中心授权学校处置的资产，校采购中心协助国有资产管理处共同进行公开招标出售，如出售成功，则处置款上缴市调剂中心指定</w:t>
      </w:r>
      <w:r>
        <w:rPr>
          <w:rFonts w:hint="eastAsia" w:ascii="宋体" w:hAnsi="宋体" w:cs="宋体"/>
          <w:sz w:val="28"/>
          <w:szCs w:val="28"/>
          <w:lang w:eastAsia="zh-CN"/>
        </w:rPr>
        <w:t>台州市财政</w:t>
      </w:r>
      <w:r>
        <w:rPr>
          <w:rFonts w:hint="eastAsia" w:ascii="宋体" w:hAnsi="宋体" w:cs="宋体"/>
          <w:sz w:val="28"/>
          <w:szCs w:val="28"/>
        </w:rPr>
        <w:t>规定账户；如出售未成功，则学校联系环卫部门，予以直接碎压、填埋等处置，以上处置情况经市调剂中心认定后，学校通过“资产云”管理软件打印资产核销单。资产核销单按规定权限经审批部门盖章后作为学校调整资产和财务账目的凭证。</w:t>
      </w:r>
    </w:p>
    <w:p>
      <w:pPr>
        <w:widowControl/>
        <w:adjustRightInd w:val="0"/>
        <w:spacing w:before="156" w:beforeLines="50" w:after="156" w:afterLines="50" w:line="500" w:lineRule="exact"/>
        <w:jc w:val="center"/>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第五章  报损和核销</w:t>
      </w:r>
    </w:p>
    <w:p>
      <w:pPr>
        <w:spacing w:line="500" w:lineRule="exact"/>
        <w:ind w:firstLine="562" w:firstLineChars="200"/>
        <w:rPr>
          <w:rFonts w:hint="eastAsia" w:ascii="宋体" w:hAnsi="宋体" w:cs="宋体"/>
          <w:color w:val="000000"/>
          <w:sz w:val="28"/>
          <w:szCs w:val="28"/>
        </w:rPr>
      </w:pPr>
      <w:r>
        <w:rPr>
          <w:rFonts w:hint="eastAsia" w:ascii="宋体" w:hAnsi="宋体" w:cs="宋体"/>
          <w:b/>
          <w:bCs/>
          <w:color w:val="000000"/>
          <w:sz w:val="28"/>
          <w:szCs w:val="28"/>
        </w:rPr>
        <w:t>第三十条</w:t>
      </w:r>
      <w:r>
        <w:rPr>
          <w:rFonts w:hint="eastAsia" w:ascii="宋体" w:hAnsi="宋体" w:cs="宋体"/>
          <w:color w:val="000000"/>
          <w:sz w:val="28"/>
          <w:szCs w:val="28"/>
        </w:rPr>
        <w:t xml:space="preserve">  资产损失是指学校有账面记载，但实际发生的短少、毁损、被盗或者丧失使用价值的，能以货币计量的经济资源，包括货币资金损失、坏账损失、存货损失、对外投资损失、固定资产损失、无形资产损失等。报损是指由于存货、固定资产、无形资产等资产发生非正常损失等原因，按有关规定对资产损失进行产权注销的资产处置行为。</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 xml:space="preserve">第三十一条  </w:t>
      </w:r>
      <w:r>
        <w:rPr>
          <w:rFonts w:hint="eastAsia" w:ascii="宋体" w:hAnsi="宋体" w:cs="宋体"/>
          <w:sz w:val="28"/>
          <w:szCs w:val="28"/>
        </w:rPr>
        <w:t>学校清查出的资产损失应当逐项清理，取得合法证据后，对损失项目及金额按照规定进行认定。对已取得具有法律效力的外部证据，而无法确定损失金额的，根据社会中介机构出具的经济鉴证证明进行认定。</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 xml:space="preserve">第三十二条 </w:t>
      </w:r>
      <w:r>
        <w:rPr>
          <w:rFonts w:hint="eastAsia" w:ascii="宋体" w:hAnsi="宋体" w:cs="宋体"/>
          <w:sz w:val="28"/>
          <w:szCs w:val="28"/>
        </w:rPr>
        <w:t xml:space="preserve"> 货币性资产损失核销是指学校按现行财务与会计制度，对确认形成损失的货币性资产（现金、银行存款、应收账款、应收票据等）进行核销的行为。</w:t>
      </w:r>
    </w:p>
    <w:p>
      <w:pPr>
        <w:spacing w:line="500" w:lineRule="exact"/>
        <w:ind w:firstLine="480"/>
        <w:rPr>
          <w:rFonts w:hint="eastAsia" w:ascii="宋体" w:hAnsi="宋体" w:cs="宋体"/>
          <w:sz w:val="28"/>
          <w:szCs w:val="28"/>
        </w:rPr>
      </w:pPr>
      <w:r>
        <w:rPr>
          <w:rFonts w:hint="eastAsia" w:ascii="宋体" w:hAnsi="宋体" w:cs="宋体"/>
          <w:b/>
          <w:bCs/>
          <w:sz w:val="28"/>
          <w:szCs w:val="28"/>
        </w:rPr>
        <w:t>第三十三条</w:t>
      </w:r>
      <w:r>
        <w:rPr>
          <w:rFonts w:hint="eastAsia" w:ascii="宋体" w:hAnsi="宋体" w:cs="宋体"/>
          <w:sz w:val="28"/>
          <w:szCs w:val="28"/>
        </w:rPr>
        <w:t xml:space="preserve">  学校货币性资产损失的认定：</w:t>
      </w:r>
    </w:p>
    <w:p>
      <w:pPr>
        <w:spacing w:line="500" w:lineRule="exact"/>
        <w:ind w:firstLine="480"/>
        <w:rPr>
          <w:rFonts w:hint="eastAsia" w:ascii="宋体" w:hAnsi="宋体" w:cs="宋体"/>
          <w:sz w:val="28"/>
          <w:szCs w:val="28"/>
        </w:rPr>
      </w:pPr>
      <w:r>
        <w:rPr>
          <w:rFonts w:hint="eastAsia" w:ascii="宋体" w:hAnsi="宋体" w:cs="宋体"/>
          <w:sz w:val="28"/>
          <w:szCs w:val="28"/>
        </w:rPr>
        <w:t>（一）货币资金损失是指学校清查出的现金短缺和各类存款损失等。现金短缺，在扣除责任人赔偿后，根据现金盘点情况、社会中介机构出具的经济鉴证证明、短款说明及核准文件、赔偿责任认定及说明、司法涉案材料等进行认定。各类存款损失的认定比照执行。</w:t>
      </w:r>
    </w:p>
    <w:p>
      <w:pPr>
        <w:spacing w:line="500" w:lineRule="exact"/>
        <w:ind w:firstLine="480"/>
        <w:rPr>
          <w:rFonts w:hint="eastAsia" w:ascii="宋体" w:hAnsi="宋体" w:cs="宋体"/>
          <w:sz w:val="28"/>
          <w:szCs w:val="28"/>
        </w:rPr>
      </w:pPr>
      <w:r>
        <w:rPr>
          <w:rFonts w:hint="eastAsia" w:ascii="宋体" w:hAnsi="宋体" w:cs="宋体"/>
          <w:sz w:val="28"/>
          <w:szCs w:val="28"/>
        </w:rPr>
        <w:t>（二）坏账损失是指学校清查出的不能收回的各项应收款项造成的损失。清查出的各项坏账，应当分析原因，对有合法证据证明确实不能收回的应收款项，按照以下方式处理：</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因债务人被宣告破产、撤销注销工商登记或者被政府责令关闭等导致无法收回的应收款项，应当根据法院的破产公告、破产清算文件、工商部门的撤销注销证明、政府部门有关文件等进行认定。已经清算的，应当对扣除清偿部分后不能收回的款项认定为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2.债务人死亡或者依法被宣告失踪、死亡，其财产或者遗产不足清偿且没有继承人的应收款项，应当在取得相关法律文件后认定为损失。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3.因不可抗力因素（自然灾害、意外事故）无法收回的应收款项，由单位做出专项说明，可以根据社会中介机构出具的经济鉴证证明认定损失。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4.涉诉的应收款项，已生效的人民法院判决书、裁定书判定、裁定其败诉的，或者虽然胜诉但因无法执行被裁定终止执行的，认定为损失。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5.逾期3年的应收款项，具有依法催收磋商记录，并且能够确认3年内没有任何业务往来的，应当根据社会中介机构出具的经济鉴证证明，在扣除应付该债务人的各种款项和有关责任人员的赔偿后的余额，认定为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6.逾期3年的应收款项，债务人在国外及我国香港、澳门、台湾地区的，经依法催收仍未收回，且在3年内没有任何业务往来的，在取得境外社会中介机构出具的终止收款意见书，或者取得我国驻外使(领)馆商务机构出具的债务人逃亡、破产证明后，认定为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7.逾期3年以上、单笔数额较小、不足以弥补清收成本的，由单位作出专项说明，根据社会中介机构出具的经济鉴证证明认定损失。</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 xml:space="preserve">第三十四条 </w:t>
      </w:r>
      <w:r>
        <w:rPr>
          <w:rFonts w:hint="eastAsia" w:ascii="宋体" w:hAnsi="宋体" w:cs="宋体"/>
          <w:sz w:val="28"/>
          <w:szCs w:val="28"/>
        </w:rPr>
        <w:t xml:space="preserve"> 学校申请货币性资产损失核销，应提交以下材料：</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（一）货币性资产损失核销申请文件；</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（二）《市级行政事业单位国有资产处置申报审批表》；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（三）债务人已被依法宣告破产、撤销、关闭，用债务人清算财产清偿后仍不能弥补损失的，提供宣告破产的民事裁定书以及财产清算报告、注销工商登记或吊销营业执照的证明、政府有关部门决定关闭的文件；</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（四）债务人死亡或者依法被宣告失踪、死亡的，提供其财产或遗产不足清偿的法律文件；</w:t>
      </w:r>
    </w:p>
    <w:p>
      <w:pPr>
        <w:spacing w:line="500" w:lineRule="exact"/>
        <w:ind w:firstLine="480"/>
        <w:rPr>
          <w:rFonts w:hint="eastAsia" w:ascii="宋体" w:hAnsi="宋体" w:cs="宋体"/>
          <w:sz w:val="28"/>
          <w:szCs w:val="28"/>
        </w:rPr>
      </w:pPr>
      <w:r>
        <w:rPr>
          <w:rFonts w:hint="eastAsia" w:ascii="宋体" w:hAnsi="宋体" w:cs="宋体"/>
          <w:sz w:val="28"/>
          <w:szCs w:val="28"/>
        </w:rPr>
        <w:t>（五）涉及仲裁或诉讼的，提供裁定书或判决书。</w:t>
      </w:r>
    </w:p>
    <w:p>
      <w:pPr>
        <w:spacing w:line="500" w:lineRule="exact"/>
        <w:ind w:firstLine="480"/>
        <w:rPr>
          <w:rFonts w:hint="eastAsia" w:ascii="宋体" w:hAnsi="宋体" w:cs="宋体"/>
          <w:sz w:val="28"/>
          <w:szCs w:val="28"/>
        </w:rPr>
      </w:pPr>
      <w:r>
        <w:rPr>
          <w:rFonts w:hint="eastAsia" w:ascii="宋体" w:hAnsi="宋体" w:cs="宋体"/>
          <w:b/>
          <w:bCs/>
          <w:sz w:val="28"/>
          <w:szCs w:val="28"/>
        </w:rPr>
        <w:t>第三十五条</w:t>
      </w:r>
      <w:r>
        <w:rPr>
          <w:rFonts w:hint="eastAsia" w:ascii="宋体" w:hAnsi="宋体" w:cs="宋体"/>
          <w:sz w:val="28"/>
          <w:szCs w:val="28"/>
        </w:rPr>
        <w:t xml:space="preserve">  学校货币性资产损失核销的审批权限：</w:t>
      </w:r>
    </w:p>
    <w:p>
      <w:pPr>
        <w:spacing w:line="500" w:lineRule="exact"/>
        <w:ind w:firstLine="374"/>
        <w:rPr>
          <w:rFonts w:hint="eastAsia" w:ascii="宋体" w:hAnsi="宋体" w:cs="宋体"/>
          <w:sz w:val="28"/>
          <w:szCs w:val="28"/>
        </w:rPr>
      </w:pPr>
      <w:r>
        <w:rPr>
          <w:rFonts w:hint="eastAsia" w:ascii="宋体" w:hAnsi="宋体" w:cs="宋体"/>
          <w:sz w:val="28"/>
          <w:szCs w:val="28"/>
        </w:rPr>
        <w:t>（一）货币性资产损失核销须符合规定，单笔金额3万元以下的由学校</w:t>
      </w:r>
      <w:r>
        <w:rPr>
          <w:rFonts w:hint="eastAsia" w:ascii="宋体" w:hAnsi="宋体" w:cs="宋体"/>
          <w:sz w:val="28"/>
          <w:szCs w:val="28"/>
          <w:lang w:eastAsia="zh-CN"/>
        </w:rPr>
        <w:t>国有资产管理领导小组审议，校长办公会议批准</w:t>
      </w:r>
      <w:r>
        <w:rPr>
          <w:rFonts w:hint="eastAsia" w:ascii="宋体" w:hAnsi="宋体" w:cs="宋体"/>
          <w:sz w:val="28"/>
          <w:szCs w:val="28"/>
        </w:rPr>
        <w:t>，报</w:t>
      </w:r>
      <w:r>
        <w:rPr>
          <w:rFonts w:hint="eastAsia" w:ascii="宋体" w:hAnsi="宋体" w:cs="宋体"/>
          <w:sz w:val="28"/>
          <w:szCs w:val="28"/>
          <w:lang w:eastAsia="zh-CN"/>
        </w:rPr>
        <w:t>主管部门</w:t>
      </w:r>
      <w:r>
        <w:rPr>
          <w:rFonts w:hint="eastAsia" w:ascii="宋体" w:hAnsi="宋体" w:cs="宋体"/>
          <w:sz w:val="28"/>
          <w:szCs w:val="28"/>
        </w:rPr>
        <w:t>审批。</w:t>
      </w:r>
    </w:p>
    <w:p>
      <w:pPr>
        <w:spacing w:line="500" w:lineRule="exact"/>
        <w:ind w:firstLine="280" w:firstLineChars="100"/>
        <w:rPr>
          <w:rFonts w:hint="eastAsia" w:ascii="宋体" w:hAnsi="宋体" w:cs="宋体"/>
          <w:b/>
          <w:bCs/>
          <w:sz w:val="28"/>
          <w:szCs w:val="28"/>
        </w:rPr>
      </w:pPr>
      <w:r>
        <w:rPr>
          <w:rFonts w:hint="eastAsia" w:ascii="宋体" w:hAnsi="宋体" w:cs="宋体"/>
          <w:sz w:val="28"/>
          <w:szCs w:val="28"/>
        </w:rPr>
        <w:t>（二）单笔金额3万元以上（含3万元）的，经学校</w:t>
      </w:r>
      <w:r>
        <w:rPr>
          <w:rFonts w:hint="eastAsia" w:ascii="宋体" w:hAnsi="宋体" w:cs="宋体"/>
          <w:sz w:val="28"/>
          <w:szCs w:val="28"/>
          <w:lang w:eastAsia="zh-CN"/>
        </w:rPr>
        <w:t>国有资产管理领导小组审议，按审批权限，经党委会议或校长办公会议</w:t>
      </w:r>
      <w:r>
        <w:rPr>
          <w:rFonts w:hint="eastAsia" w:ascii="宋体" w:hAnsi="宋体" w:cs="宋体"/>
          <w:sz w:val="28"/>
          <w:szCs w:val="28"/>
        </w:rPr>
        <w:t>批准，</w:t>
      </w:r>
      <w:r>
        <w:rPr>
          <w:rFonts w:hint="eastAsia" w:ascii="宋体" w:hAnsi="宋体" w:cs="宋体"/>
          <w:sz w:val="28"/>
          <w:szCs w:val="28"/>
          <w:lang w:eastAsia="zh-CN"/>
        </w:rPr>
        <w:t>主管部门</w:t>
      </w:r>
      <w:r>
        <w:rPr>
          <w:rFonts w:hint="eastAsia" w:ascii="宋体" w:hAnsi="宋体" w:cs="宋体"/>
          <w:sz w:val="28"/>
          <w:szCs w:val="28"/>
        </w:rPr>
        <w:t>审核后报</w:t>
      </w:r>
      <w:r>
        <w:rPr>
          <w:rFonts w:hint="eastAsia" w:ascii="宋体" w:hAnsi="宋体" w:cs="宋体"/>
          <w:sz w:val="28"/>
          <w:szCs w:val="28"/>
          <w:lang w:eastAsia="zh-CN"/>
        </w:rPr>
        <w:t>台州市财政</w:t>
      </w:r>
      <w:r>
        <w:rPr>
          <w:rFonts w:hint="eastAsia" w:ascii="宋体" w:hAnsi="宋体" w:cs="宋体"/>
          <w:sz w:val="28"/>
          <w:szCs w:val="28"/>
        </w:rPr>
        <w:t>局审批。</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 xml:space="preserve">第三十六条 </w:t>
      </w:r>
      <w:r>
        <w:rPr>
          <w:rFonts w:hint="eastAsia" w:ascii="宋体" w:hAnsi="宋体" w:cs="宋体"/>
          <w:sz w:val="28"/>
          <w:szCs w:val="28"/>
        </w:rPr>
        <w:t xml:space="preserve"> 非货币性资产损失核销是指学校按现行财务与会计制度，对确认形成损失的非货币性资产（存货、固定资产、无形资产）进行核销的行为。</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 xml:space="preserve">第三十七条 </w:t>
      </w:r>
      <w:r>
        <w:rPr>
          <w:rFonts w:hint="eastAsia" w:ascii="宋体" w:hAnsi="宋体" w:cs="宋体"/>
          <w:sz w:val="28"/>
          <w:szCs w:val="28"/>
        </w:rPr>
        <w:t xml:space="preserve"> 学校非货币性资产损失的认定：</w:t>
      </w:r>
    </w:p>
    <w:p>
      <w:pPr>
        <w:spacing w:line="500" w:lineRule="exact"/>
        <w:ind w:firstLine="480"/>
        <w:rPr>
          <w:rFonts w:hint="eastAsia" w:ascii="宋体" w:hAnsi="宋体" w:cs="宋体"/>
          <w:sz w:val="28"/>
          <w:szCs w:val="28"/>
        </w:rPr>
      </w:pPr>
      <w:r>
        <w:rPr>
          <w:rFonts w:hint="eastAsia" w:ascii="宋体" w:hAnsi="宋体" w:cs="宋体"/>
          <w:sz w:val="28"/>
          <w:szCs w:val="28"/>
        </w:rPr>
        <w:t>（一）存货损失是指学校材料、燃料、包装物、低值易耗品及达不到固定资产标准的用具、装具、动植物等因盘亏、毁损、报废、被盗等原因造成的损失。具体按以下方式认定：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1.盘亏的存货，扣除责任人赔偿后的部分，可以根据存货盘点单、社会中介机构出具的经济鉴证证明、盘亏情况说明、盘亏的价值确定依据、赔偿责任认定说明和内部核批文件等认定损失。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毁损、报废的存货，扣除残值及保险赔偿或责任人赔偿后的部分，可以根据国家有关技术鉴定部门或具有技术鉴定资格的社会中介机构出具的技术鉴定证明（涉及保险索赔的应当有保险公司理赔情况说明）、毁损报废说明、赔偿责任认定说明和内部核批文件等认定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3.被盗的存货，扣除保险理赔及责任人赔偿后的部分，可以根据公安机关案件受理证明或结案证明、责任认定及赔偿情况说明（涉及保险索赔的应当有保险公司理赔情况说明）认定损失。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（二）固定资产损失是指学校房屋及构筑物、通用设备、专用设备、文物和陈列品、图书档案、家具用具装具及动植物等因盘亏、毁损、报废、被盗等原因造成的损失。具体按以下方式认定：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1.盘亏的固定资产，扣除责任人赔偿后的差额部分，可以根据固定资产盘点单、盘亏情况说明、盘亏的价值确定依据、社会中介机构出具的经济鉴证证明、赔偿责任认定说明和内部核批文件等认定。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毁损、报废的固定资产，扣除残值、保险赔偿和责任人赔偿后的差额部分，可以根据国家有关技术鉴定部门或具有技术鉴定资格的社会中介机构出具的技术鉴定证明（涉及保险索赔的应当有保险公司的出险调查单和理赔计算单、保险公司理赔情况说明）、毁损报废说明、赔偿责任认定说明和内部核批文件等认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因不可抗力因素（自然灾害、意外事故）造成固定资产毁损、报废的，应当依据相关部门出具的事故处理报告、车辆报损证明、房屋拆除证明、受灾证明等鉴定报告认定。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被盗的固定资产，扣除保险理赔及责任人赔偿后的部分，可以根据公安机关案件受理证明或结案证明、责任认定及赔偿情况说明（涉及保险索赔的应当有保险公司的出险调查单和理赔计算单、保险公司理赔情况说明）认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（三）无形资产损失是指无形资产因被其他新技术所代替或者已经超过了法律保护的期限、丧失了使用价值和转让价值等所造成的损失。</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无形资产损失，可以根据有关技术部门的鉴定材料，或者已经超过了法律保护期限的证明文件等认定。</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第三十八条</w:t>
      </w:r>
      <w:r>
        <w:rPr>
          <w:rFonts w:hint="eastAsia" w:ascii="宋体" w:hAnsi="宋体" w:cs="宋体"/>
          <w:sz w:val="28"/>
          <w:szCs w:val="28"/>
        </w:rPr>
        <w:t xml:space="preserve">  学校申请非货币性资产报损，应提交以下资料：</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（一）报损申请文件；</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（二）《市级行政事业单位国有资产处置申报审批表》；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（三）拟处置资产的权属证明；</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（四）报损价值清单，并附能够证明盘亏、毁损以及非正常损失资产价值的有效凭证复印件（加盖单位印章），盘点表及产权证明等凭据的复印件（加盖单位公章）；</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（五）造成损失的具有法律效力的外部证据或有效证明；社会中介机构出具的经济鉴证报告；</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（六）非正常损失责任事故的鉴定文件及对责任者的处理文件；涉及索赔的，应有理赔情况说明和相应的赔偿收入收缴凭证复印件；</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（七）因房屋拆除等原因需办理资产核销手续的，提交相关职能部门的房屋拆除批复文件、建设项目拆建立项文件、双方签定的房屋拆迁补偿协议；</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（八）学校填报的有关报损资产内部审核意见表。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（九）其他相关材料。</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第三十九条</w:t>
      </w:r>
      <w:r>
        <w:rPr>
          <w:rFonts w:hint="eastAsia" w:ascii="宋体" w:hAnsi="宋体" w:cs="宋体"/>
          <w:sz w:val="28"/>
          <w:szCs w:val="28"/>
        </w:rPr>
        <w:t xml:space="preserve">  学校非货币性资产损失的审批权限：</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单项原值15万元以下的固定资产（不含房屋及构筑物）、无形资产（不含土地使用权）、存货（单批）</w:t>
      </w:r>
      <w:r>
        <w:rPr>
          <w:rFonts w:hint="eastAsia" w:ascii="宋体" w:hAnsi="宋体" w:cs="宋体"/>
          <w:sz w:val="28"/>
          <w:szCs w:val="28"/>
          <w:lang w:eastAsia="zh-CN"/>
        </w:rPr>
        <w:t>损失</w:t>
      </w:r>
      <w:r>
        <w:rPr>
          <w:rFonts w:hint="eastAsia" w:ascii="宋体" w:hAnsi="宋体" w:cs="宋体"/>
          <w:sz w:val="28"/>
          <w:szCs w:val="28"/>
        </w:rPr>
        <w:t>,由学校</w:t>
      </w:r>
      <w:r>
        <w:rPr>
          <w:rFonts w:hint="eastAsia" w:ascii="宋体" w:hAnsi="宋体" w:cs="宋体"/>
          <w:sz w:val="28"/>
          <w:szCs w:val="28"/>
          <w:lang w:eastAsia="zh-CN"/>
        </w:rPr>
        <w:t>国有资产管理领导小组审议，按审批权限，经</w:t>
      </w:r>
      <w:r>
        <w:rPr>
          <w:rFonts w:hint="eastAsia" w:ascii="宋体" w:hAnsi="宋体" w:cs="宋体"/>
          <w:sz w:val="28"/>
          <w:szCs w:val="28"/>
        </w:rPr>
        <w:t>校长</w:t>
      </w:r>
      <w:r>
        <w:rPr>
          <w:rFonts w:hint="eastAsia" w:ascii="宋体" w:hAnsi="宋体" w:cs="宋体"/>
          <w:sz w:val="28"/>
          <w:szCs w:val="28"/>
          <w:lang w:eastAsia="zh-CN"/>
        </w:rPr>
        <w:t>办公会议</w:t>
      </w:r>
      <w:r>
        <w:rPr>
          <w:rFonts w:hint="eastAsia" w:ascii="宋体" w:hAnsi="宋体" w:cs="宋体"/>
          <w:sz w:val="28"/>
          <w:szCs w:val="28"/>
        </w:rPr>
        <w:t>批准，报</w:t>
      </w:r>
      <w:r>
        <w:rPr>
          <w:rFonts w:hint="eastAsia" w:ascii="宋体" w:hAnsi="宋体" w:cs="宋体"/>
          <w:sz w:val="28"/>
          <w:szCs w:val="28"/>
          <w:lang w:eastAsia="zh-CN"/>
        </w:rPr>
        <w:t>主管部门</w:t>
      </w:r>
      <w:r>
        <w:rPr>
          <w:rFonts w:hint="eastAsia" w:ascii="宋体" w:hAnsi="宋体" w:cs="宋体"/>
          <w:sz w:val="28"/>
          <w:szCs w:val="28"/>
        </w:rPr>
        <w:t>审批；单项原值15万元（含15万元）以上的固定资产（不含房屋及构筑物）、无形资产（不含土地使用权）、存货（单批）</w:t>
      </w:r>
      <w:r>
        <w:rPr>
          <w:rFonts w:hint="eastAsia" w:ascii="宋体" w:hAnsi="宋体" w:cs="宋体"/>
          <w:sz w:val="28"/>
          <w:szCs w:val="28"/>
          <w:lang w:eastAsia="zh-CN"/>
        </w:rPr>
        <w:t>损失</w:t>
      </w:r>
      <w:r>
        <w:rPr>
          <w:rFonts w:hint="eastAsia" w:ascii="宋体" w:hAnsi="宋体" w:cs="宋体"/>
          <w:sz w:val="28"/>
          <w:szCs w:val="28"/>
        </w:rPr>
        <w:t>,由学校</w:t>
      </w:r>
      <w:r>
        <w:rPr>
          <w:rFonts w:hint="eastAsia" w:ascii="宋体" w:hAnsi="宋体" w:cs="宋体"/>
          <w:sz w:val="28"/>
          <w:szCs w:val="28"/>
          <w:lang w:eastAsia="zh-CN"/>
        </w:rPr>
        <w:t>国有资产管理领导小组</w:t>
      </w:r>
      <w:r>
        <w:rPr>
          <w:rFonts w:hint="eastAsia" w:ascii="宋体" w:hAnsi="宋体" w:cs="宋体"/>
          <w:sz w:val="28"/>
          <w:szCs w:val="28"/>
        </w:rPr>
        <w:t>审</w:t>
      </w:r>
      <w:r>
        <w:rPr>
          <w:rFonts w:hint="eastAsia" w:ascii="宋体" w:hAnsi="宋体" w:cs="宋体"/>
          <w:sz w:val="28"/>
          <w:szCs w:val="28"/>
          <w:lang w:eastAsia="zh-CN"/>
        </w:rPr>
        <w:t>议</w:t>
      </w:r>
      <w:r>
        <w:rPr>
          <w:rFonts w:hint="eastAsia" w:ascii="宋体" w:hAnsi="宋体" w:cs="宋体"/>
          <w:sz w:val="28"/>
          <w:szCs w:val="28"/>
        </w:rPr>
        <w:t>，</w:t>
      </w:r>
      <w:r>
        <w:rPr>
          <w:rFonts w:hint="eastAsia" w:ascii="宋体" w:hAnsi="宋体" w:cs="宋体"/>
          <w:sz w:val="28"/>
          <w:szCs w:val="28"/>
          <w:lang w:eastAsia="zh-CN"/>
        </w:rPr>
        <w:t>按审批权限，经党委会议或</w:t>
      </w:r>
      <w:r>
        <w:rPr>
          <w:rFonts w:hint="eastAsia" w:ascii="宋体" w:hAnsi="宋体" w:cs="宋体"/>
          <w:sz w:val="28"/>
          <w:szCs w:val="28"/>
        </w:rPr>
        <w:t>校长</w:t>
      </w:r>
      <w:r>
        <w:rPr>
          <w:rFonts w:hint="eastAsia" w:ascii="宋体" w:hAnsi="宋体" w:cs="宋体"/>
          <w:sz w:val="28"/>
          <w:szCs w:val="28"/>
          <w:lang w:eastAsia="zh-CN"/>
        </w:rPr>
        <w:t>办公会议</w:t>
      </w:r>
      <w:r>
        <w:rPr>
          <w:rFonts w:hint="eastAsia" w:ascii="宋体" w:hAnsi="宋体" w:cs="宋体"/>
          <w:sz w:val="28"/>
          <w:szCs w:val="28"/>
        </w:rPr>
        <w:t>批准，</w:t>
      </w:r>
      <w:r>
        <w:rPr>
          <w:rFonts w:hint="eastAsia" w:ascii="宋体" w:hAnsi="宋体" w:cs="宋体"/>
          <w:sz w:val="28"/>
          <w:szCs w:val="28"/>
          <w:lang w:eastAsia="zh-CN"/>
        </w:rPr>
        <w:t>主管部门</w:t>
      </w:r>
      <w:r>
        <w:rPr>
          <w:rFonts w:hint="eastAsia" w:ascii="宋体" w:hAnsi="宋体" w:cs="宋体"/>
          <w:sz w:val="28"/>
          <w:szCs w:val="28"/>
        </w:rPr>
        <w:t>审核，</w:t>
      </w:r>
      <w:r>
        <w:rPr>
          <w:rFonts w:hint="eastAsia" w:ascii="宋体" w:hAnsi="宋体" w:cs="宋体"/>
          <w:sz w:val="28"/>
          <w:szCs w:val="28"/>
          <w:lang w:eastAsia="zh-CN"/>
        </w:rPr>
        <w:t>再</w:t>
      </w:r>
      <w:r>
        <w:rPr>
          <w:rFonts w:hint="eastAsia" w:ascii="宋体" w:hAnsi="宋体" w:cs="宋体"/>
          <w:sz w:val="28"/>
          <w:szCs w:val="28"/>
        </w:rPr>
        <w:t>报</w:t>
      </w:r>
      <w:r>
        <w:rPr>
          <w:rFonts w:hint="eastAsia" w:ascii="宋体" w:hAnsi="宋体" w:cs="宋体"/>
          <w:sz w:val="28"/>
          <w:szCs w:val="28"/>
          <w:lang w:eastAsia="zh-CN"/>
        </w:rPr>
        <w:t>台州市财政</w:t>
      </w:r>
      <w:r>
        <w:rPr>
          <w:rFonts w:hint="eastAsia" w:ascii="宋体" w:hAnsi="宋体" w:cs="宋体"/>
          <w:sz w:val="28"/>
          <w:szCs w:val="28"/>
        </w:rPr>
        <w:t xml:space="preserve">局审批。 </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 xml:space="preserve">第四十条  </w:t>
      </w:r>
      <w:r>
        <w:rPr>
          <w:rFonts w:hint="eastAsia" w:ascii="宋体" w:hAnsi="宋体" w:cs="宋体"/>
          <w:sz w:val="28"/>
          <w:szCs w:val="28"/>
        </w:rPr>
        <w:t>学校国有资产对外投资损失认定，</w:t>
      </w:r>
      <w:r>
        <w:rPr>
          <w:rFonts w:hint="eastAsia" w:ascii="宋体" w:hAnsi="宋体" w:cs="宋体"/>
          <w:sz w:val="28"/>
          <w:szCs w:val="28"/>
          <w:lang w:eastAsia="zh-CN"/>
        </w:rPr>
        <w:t>需</w:t>
      </w:r>
      <w:r>
        <w:rPr>
          <w:rFonts w:hint="eastAsia" w:ascii="宋体" w:hAnsi="宋体" w:cs="宋体"/>
          <w:sz w:val="28"/>
          <w:szCs w:val="28"/>
        </w:rPr>
        <w:t>分析原因，有合法证据证明确实不能收回的，区分以下情况可以进行认定损失：</w:t>
      </w:r>
    </w:p>
    <w:p>
      <w:pPr>
        <w:spacing w:line="500" w:lineRule="exact"/>
        <w:ind w:firstLine="480"/>
        <w:rPr>
          <w:rFonts w:hint="eastAsia" w:ascii="宋体" w:hAnsi="宋体" w:cs="宋体"/>
          <w:sz w:val="28"/>
          <w:szCs w:val="28"/>
        </w:rPr>
      </w:pPr>
      <w:r>
        <w:rPr>
          <w:rFonts w:hint="eastAsia" w:ascii="宋体" w:hAnsi="宋体" w:cs="宋体"/>
          <w:sz w:val="28"/>
          <w:szCs w:val="28"/>
        </w:rPr>
        <w:t>（一）因被投资单位已宣告破产、被撤销注销工商登记或者被政府责令关闭等情况造成难以收回的对外投资，可以根据法院的破产公告或者破产清算的清偿文件、工商部门的撤销注销文件、政府有关部门的行政决定等认定损失。</w:t>
      </w:r>
    </w:p>
    <w:p>
      <w:pPr>
        <w:spacing w:line="500" w:lineRule="exact"/>
        <w:ind w:firstLine="480"/>
        <w:rPr>
          <w:rFonts w:hint="eastAsia" w:ascii="宋体" w:hAnsi="宋体" w:cs="宋体"/>
          <w:sz w:val="28"/>
          <w:szCs w:val="28"/>
        </w:rPr>
      </w:pPr>
      <w:r>
        <w:rPr>
          <w:rFonts w:hint="eastAsia" w:ascii="宋体" w:hAnsi="宋体" w:cs="宋体"/>
          <w:sz w:val="28"/>
          <w:szCs w:val="28"/>
        </w:rPr>
        <w:t>已经清算的，扣除清算资产清偿后的差额部分，可以认定为损失。</w:t>
      </w:r>
    </w:p>
    <w:p>
      <w:pPr>
        <w:spacing w:line="500" w:lineRule="exact"/>
        <w:ind w:firstLine="480"/>
        <w:rPr>
          <w:rFonts w:hint="eastAsia" w:ascii="宋体" w:hAnsi="宋体" w:cs="宋体"/>
          <w:sz w:val="28"/>
          <w:szCs w:val="28"/>
        </w:rPr>
      </w:pPr>
      <w:r>
        <w:rPr>
          <w:rFonts w:hint="eastAsia" w:ascii="宋体" w:hAnsi="宋体" w:cs="宋体"/>
          <w:sz w:val="28"/>
          <w:szCs w:val="28"/>
        </w:rPr>
        <w:t>尚未清算的，被投资单位剩余资产确实不足清偿投资的差额部分，根据社会中介机构出具的经济鉴证证明，认定为损失。</w:t>
      </w:r>
    </w:p>
    <w:p>
      <w:pPr>
        <w:spacing w:line="500" w:lineRule="exact"/>
        <w:ind w:firstLine="480"/>
        <w:rPr>
          <w:rFonts w:hint="eastAsia" w:ascii="宋体" w:hAnsi="宋体" w:cs="宋体"/>
          <w:sz w:val="28"/>
          <w:szCs w:val="28"/>
        </w:rPr>
      </w:pPr>
      <w:r>
        <w:rPr>
          <w:rFonts w:hint="eastAsia" w:ascii="宋体" w:hAnsi="宋体" w:cs="宋体"/>
          <w:sz w:val="28"/>
          <w:szCs w:val="28"/>
        </w:rPr>
        <w:t>（二）对学校参股投资、金额较小、不具有控制权的对外投资，被投资单位已资不抵债且连续停止经营3年以上的，根据社会中介机构出具的经济鉴证证明，对确实不能收回的部分，认定为损失。</w:t>
      </w:r>
      <w:r>
        <w:rPr>
          <w:rFonts w:hint="eastAsia" w:ascii="宋体" w:hAnsi="宋体" w:cs="宋体"/>
          <w:b/>
          <w:bCs/>
          <w:sz w:val="28"/>
          <w:szCs w:val="28"/>
        </w:rPr>
        <w:t xml:space="preserve"> </w:t>
      </w:r>
    </w:p>
    <w:p>
      <w:pPr>
        <w:spacing w:line="500" w:lineRule="exact"/>
        <w:ind w:firstLine="480"/>
        <w:rPr>
          <w:rFonts w:hint="eastAsia" w:ascii="宋体" w:hAnsi="宋体" w:cs="宋体"/>
          <w:sz w:val="28"/>
          <w:szCs w:val="28"/>
        </w:rPr>
      </w:pPr>
      <w:r>
        <w:rPr>
          <w:rFonts w:hint="eastAsia" w:ascii="宋体" w:hAnsi="宋体" w:cs="宋体"/>
          <w:b/>
          <w:bCs/>
          <w:sz w:val="28"/>
          <w:szCs w:val="28"/>
        </w:rPr>
        <w:t xml:space="preserve">第四十一条  </w:t>
      </w:r>
      <w:r>
        <w:rPr>
          <w:rFonts w:hint="eastAsia" w:ascii="宋体" w:hAnsi="宋体" w:cs="宋体"/>
          <w:sz w:val="28"/>
          <w:szCs w:val="28"/>
        </w:rPr>
        <w:t>学校国有资产对外投资发生损失，单笔金额3万元以下的，由学校</w:t>
      </w:r>
      <w:r>
        <w:rPr>
          <w:rFonts w:hint="eastAsia" w:ascii="宋体" w:hAnsi="宋体" w:cs="宋体"/>
          <w:sz w:val="28"/>
          <w:szCs w:val="28"/>
          <w:lang w:eastAsia="zh-CN"/>
        </w:rPr>
        <w:t>国有资产管理领导小组审议，经</w:t>
      </w:r>
      <w:r>
        <w:rPr>
          <w:rFonts w:hint="eastAsia" w:ascii="宋体" w:hAnsi="宋体" w:cs="宋体"/>
          <w:sz w:val="28"/>
          <w:szCs w:val="28"/>
        </w:rPr>
        <w:t>校长</w:t>
      </w:r>
      <w:r>
        <w:rPr>
          <w:rFonts w:hint="eastAsia" w:ascii="宋体" w:hAnsi="宋体" w:cs="宋体"/>
          <w:sz w:val="28"/>
          <w:szCs w:val="28"/>
          <w:lang w:eastAsia="zh-CN"/>
        </w:rPr>
        <w:t>办公会议</w:t>
      </w:r>
      <w:r>
        <w:rPr>
          <w:rFonts w:hint="eastAsia" w:ascii="宋体" w:hAnsi="宋体" w:cs="宋体"/>
          <w:sz w:val="28"/>
          <w:szCs w:val="28"/>
        </w:rPr>
        <w:t>批准，报</w:t>
      </w:r>
      <w:r>
        <w:rPr>
          <w:rFonts w:hint="eastAsia" w:ascii="宋体" w:hAnsi="宋体" w:cs="宋体"/>
          <w:sz w:val="28"/>
          <w:szCs w:val="28"/>
          <w:lang w:eastAsia="zh-CN"/>
        </w:rPr>
        <w:t>主管部门</w:t>
      </w:r>
      <w:r>
        <w:rPr>
          <w:rFonts w:hint="eastAsia" w:ascii="宋体" w:hAnsi="宋体" w:cs="宋体"/>
          <w:sz w:val="28"/>
          <w:szCs w:val="28"/>
        </w:rPr>
        <w:t>审批；单笔金额3万元以上（含3万元）的，学校</w:t>
      </w:r>
      <w:r>
        <w:rPr>
          <w:rFonts w:hint="eastAsia" w:ascii="宋体" w:hAnsi="宋体" w:cs="宋体"/>
          <w:sz w:val="28"/>
          <w:szCs w:val="28"/>
          <w:lang w:eastAsia="zh-CN"/>
        </w:rPr>
        <w:t>国有资产管理领导小组</w:t>
      </w:r>
      <w:r>
        <w:rPr>
          <w:rFonts w:hint="eastAsia" w:ascii="宋体" w:hAnsi="宋体" w:cs="宋体"/>
          <w:sz w:val="28"/>
          <w:szCs w:val="28"/>
        </w:rPr>
        <w:t>审</w:t>
      </w:r>
      <w:r>
        <w:rPr>
          <w:rFonts w:hint="eastAsia" w:ascii="宋体" w:hAnsi="宋体" w:cs="宋体"/>
          <w:sz w:val="28"/>
          <w:szCs w:val="28"/>
          <w:lang w:eastAsia="zh-CN"/>
        </w:rPr>
        <w:t>议</w:t>
      </w:r>
      <w:r>
        <w:rPr>
          <w:rFonts w:hint="eastAsia" w:ascii="宋体" w:hAnsi="宋体" w:cs="宋体"/>
          <w:sz w:val="28"/>
          <w:szCs w:val="28"/>
        </w:rPr>
        <w:t>后，</w:t>
      </w:r>
      <w:r>
        <w:rPr>
          <w:rFonts w:hint="eastAsia" w:ascii="宋体" w:hAnsi="宋体" w:cs="宋体"/>
          <w:sz w:val="28"/>
          <w:szCs w:val="28"/>
          <w:lang w:eastAsia="zh-CN"/>
        </w:rPr>
        <w:t>按审批权限，经党委会议或</w:t>
      </w:r>
      <w:r>
        <w:rPr>
          <w:rFonts w:hint="eastAsia" w:ascii="宋体" w:hAnsi="宋体" w:cs="宋体"/>
          <w:sz w:val="28"/>
          <w:szCs w:val="28"/>
        </w:rPr>
        <w:t>校长</w:t>
      </w:r>
      <w:r>
        <w:rPr>
          <w:rFonts w:hint="eastAsia" w:ascii="宋体" w:hAnsi="宋体" w:cs="宋体"/>
          <w:sz w:val="28"/>
          <w:szCs w:val="28"/>
          <w:lang w:eastAsia="zh-CN"/>
        </w:rPr>
        <w:t>办公会议</w:t>
      </w:r>
      <w:r>
        <w:rPr>
          <w:rFonts w:hint="eastAsia" w:ascii="宋体" w:hAnsi="宋体" w:cs="宋体"/>
          <w:sz w:val="28"/>
          <w:szCs w:val="28"/>
        </w:rPr>
        <w:t>批准，</w:t>
      </w:r>
      <w:r>
        <w:rPr>
          <w:rFonts w:hint="eastAsia" w:ascii="宋体" w:hAnsi="宋体" w:cs="宋体"/>
          <w:sz w:val="28"/>
          <w:szCs w:val="28"/>
          <w:lang w:eastAsia="zh-CN"/>
        </w:rPr>
        <w:t>主管部门</w:t>
      </w:r>
      <w:r>
        <w:rPr>
          <w:rFonts w:hint="eastAsia" w:ascii="宋体" w:hAnsi="宋体" w:cs="宋体"/>
          <w:sz w:val="28"/>
          <w:szCs w:val="28"/>
        </w:rPr>
        <w:t>审核，</w:t>
      </w:r>
      <w:r>
        <w:rPr>
          <w:rFonts w:hint="eastAsia" w:ascii="宋体" w:hAnsi="宋体" w:cs="宋体"/>
          <w:sz w:val="28"/>
          <w:szCs w:val="28"/>
          <w:lang w:eastAsia="zh-CN"/>
        </w:rPr>
        <w:t>再</w:t>
      </w:r>
      <w:r>
        <w:rPr>
          <w:rFonts w:hint="eastAsia" w:ascii="宋体" w:hAnsi="宋体" w:cs="宋体"/>
          <w:sz w:val="28"/>
          <w:szCs w:val="28"/>
        </w:rPr>
        <w:t>报</w:t>
      </w:r>
      <w:r>
        <w:rPr>
          <w:rFonts w:hint="eastAsia" w:ascii="宋体" w:hAnsi="宋体" w:cs="宋体"/>
          <w:sz w:val="28"/>
          <w:szCs w:val="28"/>
          <w:lang w:eastAsia="zh-CN"/>
        </w:rPr>
        <w:t>台州市财政</w:t>
      </w:r>
      <w:r>
        <w:rPr>
          <w:rFonts w:hint="eastAsia" w:ascii="宋体" w:hAnsi="宋体" w:cs="宋体"/>
          <w:sz w:val="28"/>
          <w:szCs w:val="28"/>
        </w:rPr>
        <w:t>局审批。</w:t>
      </w:r>
    </w:p>
    <w:p>
      <w:pPr>
        <w:widowControl/>
        <w:adjustRightInd w:val="0"/>
        <w:spacing w:before="156" w:beforeLines="50" w:after="156" w:afterLines="50" w:line="500" w:lineRule="exact"/>
        <w:jc w:val="center"/>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第六章  处置收入管理</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第四十二条</w:t>
      </w:r>
      <w:r>
        <w:rPr>
          <w:rFonts w:hint="eastAsia" w:ascii="宋体" w:hAnsi="宋体" w:cs="宋体"/>
          <w:sz w:val="28"/>
          <w:szCs w:val="28"/>
        </w:rPr>
        <w:t xml:space="preserve"> 处置收入是指在处置国有资产过程中获得的收入。资产处置结束后，处置资产接收方将处置资金转入我校银行账户。</w:t>
      </w:r>
    </w:p>
    <w:p>
      <w:pPr>
        <w:spacing w:line="500" w:lineRule="exact"/>
        <w:ind w:firstLine="562" w:firstLineChars="200"/>
        <w:rPr>
          <w:rFonts w:hint="eastAsia" w:ascii="宋体" w:hAnsi="宋体" w:cs="宋体"/>
          <w:b/>
          <w:kern w:val="0"/>
          <w:sz w:val="28"/>
          <w:szCs w:val="28"/>
          <w:lang w:val="zh-CN"/>
        </w:rPr>
      </w:pPr>
      <w:r>
        <w:rPr>
          <w:rFonts w:hint="eastAsia" w:ascii="宋体" w:hAnsi="宋体" w:cs="宋体"/>
          <w:b/>
          <w:bCs/>
          <w:sz w:val="28"/>
          <w:szCs w:val="28"/>
        </w:rPr>
        <w:t xml:space="preserve">第四十三条 </w:t>
      </w:r>
      <w:r>
        <w:rPr>
          <w:rFonts w:hint="eastAsia" w:ascii="宋体" w:hAnsi="宋体" w:cs="宋体"/>
          <w:sz w:val="28"/>
          <w:szCs w:val="28"/>
        </w:rPr>
        <w:t>处置收入按照有关规定，由学校财务部门上缴</w:t>
      </w:r>
      <w:r>
        <w:rPr>
          <w:rFonts w:hint="eastAsia" w:ascii="宋体" w:hAnsi="宋体" w:cs="宋体"/>
          <w:sz w:val="28"/>
          <w:szCs w:val="28"/>
          <w:lang w:eastAsia="zh-CN"/>
        </w:rPr>
        <w:t>台州市财政</w:t>
      </w:r>
      <w:r>
        <w:rPr>
          <w:rFonts w:hint="eastAsia" w:ascii="宋体" w:hAnsi="宋体" w:cs="宋体"/>
          <w:sz w:val="28"/>
          <w:szCs w:val="28"/>
        </w:rPr>
        <w:t>局，实行“收支两条线”管理。</w:t>
      </w:r>
      <w:r>
        <w:rPr>
          <w:rFonts w:hint="eastAsia" w:ascii="宋体" w:hAnsi="宋体" w:cs="宋体"/>
          <w:b/>
          <w:kern w:val="0"/>
          <w:sz w:val="28"/>
          <w:szCs w:val="28"/>
          <w:lang w:val="zh-CN"/>
        </w:rPr>
        <w:t xml:space="preserve">   </w:t>
      </w:r>
    </w:p>
    <w:p>
      <w:pPr>
        <w:widowControl/>
        <w:adjustRightInd w:val="0"/>
        <w:spacing w:before="156" w:beforeLines="50" w:after="156" w:afterLines="50" w:line="500" w:lineRule="exact"/>
        <w:jc w:val="center"/>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第七章  附则</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第四十四条</w:t>
      </w:r>
      <w:r>
        <w:rPr>
          <w:rFonts w:hint="eastAsia" w:ascii="宋体" w:hAnsi="宋体" w:cs="宋体"/>
          <w:sz w:val="28"/>
          <w:szCs w:val="28"/>
        </w:rPr>
        <w:t xml:space="preserve">  学校处置涉及国家安全和秘密的国有资产，应当按照国家有关保密制度的规定，做好保密工作，防止失密和泄密。</w:t>
      </w:r>
    </w:p>
    <w:p>
      <w:pPr>
        <w:spacing w:line="500" w:lineRule="exact"/>
        <w:ind w:firstLine="562" w:firstLineChars="200"/>
        <w:rPr>
          <w:rFonts w:hint="eastAsia" w:ascii="宋体" w:hAnsi="宋体" w:cs="宋体"/>
          <w:sz w:val="28"/>
          <w:szCs w:val="28"/>
        </w:rPr>
      </w:pPr>
      <w:r>
        <w:rPr>
          <w:rFonts w:hint="eastAsia" w:ascii="宋体" w:hAnsi="宋体" w:cs="宋体"/>
          <w:b/>
          <w:bCs/>
          <w:sz w:val="28"/>
          <w:szCs w:val="28"/>
        </w:rPr>
        <w:t>第四十五条</w:t>
      </w:r>
      <w:r>
        <w:rPr>
          <w:rFonts w:hint="eastAsia" w:ascii="宋体" w:hAnsi="宋体" w:cs="宋体"/>
          <w:sz w:val="28"/>
          <w:szCs w:val="28"/>
        </w:rPr>
        <w:t xml:space="preserve">  学校所办全资企业台州科技职业学院资产经营公司的国有资产处置，按照《企业国有资产法》、《企业财务通则》（财政部令第41号）、《企业国有资本与财务管理暂行办法》（财企〔2001〕325号）、《企业国有产权转让管理暂行办法》（国资委财政部令第3号）等有关规定执行。</w:t>
      </w:r>
    </w:p>
    <w:p>
      <w:pPr>
        <w:spacing w:line="500" w:lineRule="exact"/>
        <w:ind w:firstLine="495"/>
        <w:rPr>
          <w:rFonts w:hint="eastAsia" w:ascii="宋体" w:hAnsi="宋体" w:cs="宋体"/>
          <w:sz w:val="28"/>
          <w:szCs w:val="28"/>
        </w:rPr>
      </w:pPr>
      <w:r>
        <w:rPr>
          <w:rFonts w:hint="eastAsia" w:ascii="宋体" w:hAnsi="宋体" w:cs="宋体"/>
          <w:b/>
          <w:bCs/>
          <w:sz w:val="28"/>
          <w:szCs w:val="28"/>
        </w:rPr>
        <w:t>第四十六条</w:t>
      </w:r>
      <w:r>
        <w:rPr>
          <w:rFonts w:hint="eastAsia" w:ascii="宋体" w:hAnsi="宋体" w:cs="宋体"/>
          <w:sz w:val="28"/>
          <w:szCs w:val="28"/>
        </w:rPr>
        <w:t xml:space="preserve">  本办法由国有资产管理处负责解释。</w:t>
      </w:r>
    </w:p>
    <w:p>
      <w:pPr>
        <w:spacing w:line="500" w:lineRule="exact"/>
        <w:ind w:firstLine="495"/>
        <w:rPr>
          <w:rFonts w:hint="eastAsia" w:ascii="宋体" w:hAnsi="宋体" w:cs="宋体"/>
          <w:sz w:val="28"/>
          <w:szCs w:val="28"/>
        </w:rPr>
      </w:pPr>
      <w:r>
        <w:rPr>
          <w:rFonts w:hint="eastAsia" w:ascii="宋体" w:hAnsi="宋体" w:cs="宋体"/>
          <w:b/>
          <w:bCs/>
          <w:sz w:val="28"/>
          <w:szCs w:val="28"/>
        </w:rPr>
        <w:t xml:space="preserve">第四十七条  </w:t>
      </w:r>
      <w:r>
        <w:rPr>
          <w:rFonts w:hint="eastAsia" w:ascii="宋体" w:hAnsi="宋体" w:cs="宋体"/>
          <w:sz w:val="28"/>
          <w:szCs w:val="28"/>
        </w:rPr>
        <w:t>本办法自发布之日起施行。</w:t>
      </w:r>
    </w:p>
    <w:p>
      <w:pPr>
        <w:spacing w:line="500" w:lineRule="exact"/>
        <w:ind w:firstLine="560" w:firstLineChars="200"/>
        <w:rPr>
          <w:rFonts w:hint="eastAsia" w:ascii="宋体" w:hAnsi="宋体" w:cs="宋体"/>
          <w:sz w:val="28"/>
          <w:szCs w:val="28"/>
        </w:rPr>
      </w:pPr>
    </w:p>
    <w:p>
      <w:pPr>
        <w:spacing w:line="500" w:lineRule="exact"/>
        <w:ind w:firstLine="495"/>
        <w:rPr>
          <w:rFonts w:hint="eastAsia" w:ascii="宋体" w:hAnsi="宋体" w:cs="宋体"/>
          <w:sz w:val="28"/>
          <w:szCs w:val="28"/>
        </w:rPr>
      </w:pPr>
      <w:r>
        <w:rPr>
          <w:rFonts w:hint="eastAsia" w:ascii="宋体" w:hAnsi="宋体" w:cs="宋体"/>
          <w:sz w:val="28"/>
          <w:szCs w:val="28"/>
        </w:rPr>
        <w:t>附件：1.市级行政事业单位国有资产处置申报审批表</w:t>
      </w:r>
    </w:p>
    <w:p>
      <w:pPr>
        <w:spacing w:line="500" w:lineRule="exact"/>
        <w:ind w:firstLine="1400" w:firstLineChars="500"/>
        <w:rPr>
          <w:rFonts w:hint="eastAsia" w:ascii="宋体" w:hAnsi="宋体" w:cs="宋体"/>
          <w:sz w:val="28"/>
          <w:szCs w:val="28"/>
        </w:rPr>
      </w:pPr>
      <w:r>
        <w:rPr>
          <w:rFonts w:hint="eastAsia" w:ascii="宋体" w:hAnsi="宋体" w:cs="宋体"/>
          <w:sz w:val="28"/>
          <w:szCs w:val="28"/>
        </w:rPr>
        <w:t>2.台州科技职业学院国有资产处置申报表</w:t>
      </w:r>
    </w:p>
    <w:p>
      <w:pPr>
        <w:spacing w:line="500" w:lineRule="exact"/>
        <w:rPr>
          <w:rFonts w:hint="eastAsia" w:ascii="宋体" w:hAnsi="宋体" w:cs="宋体"/>
          <w:sz w:val="28"/>
          <w:szCs w:val="28"/>
        </w:rPr>
      </w:pPr>
      <w:r>
        <w:rPr>
          <w:rFonts w:hint="eastAsia" w:ascii="宋体" w:hAnsi="宋体" w:cs="宋体"/>
          <w:sz w:val="28"/>
          <w:szCs w:val="28"/>
        </w:rPr>
        <w:t xml:space="preserve">          3.常用固定资产使用年限表</w:t>
      </w:r>
    </w:p>
    <w:p>
      <w:pPr>
        <w:spacing w:line="500" w:lineRule="exact"/>
        <w:ind w:left="1680" w:hanging="1680" w:hangingChars="600"/>
        <w:rPr>
          <w:rFonts w:hint="eastAsia" w:ascii="宋体" w:hAnsi="宋体" w:cs="宋体"/>
          <w:sz w:val="28"/>
          <w:szCs w:val="28"/>
        </w:rPr>
      </w:pPr>
      <w:r>
        <w:rPr>
          <w:rFonts w:hint="eastAsia" w:ascii="宋体" w:hAnsi="宋体" w:cs="宋体"/>
          <w:sz w:val="28"/>
          <w:szCs w:val="28"/>
        </w:rPr>
        <w:t xml:space="preserve">          4.台州科技职业学院大型贵重仪器设备技术报废鉴定表</w:t>
      </w:r>
    </w:p>
    <w:p>
      <w:pPr>
        <w:spacing w:line="300" w:lineRule="auto"/>
        <w:ind w:firstLine="1400" w:firstLineChars="500"/>
        <w:rPr>
          <w:rFonts w:hint="eastAsia" w:ascii="仿宋" w:hAnsi="仿宋" w:eastAsia="仿宋" w:cs="仿宋"/>
          <w:sz w:val="30"/>
          <w:szCs w:val="30"/>
        </w:rPr>
      </w:pPr>
      <w:r>
        <w:rPr>
          <w:rFonts w:hint="eastAsia" w:ascii="宋体" w:hAnsi="宋体" w:cs="宋体"/>
          <w:sz w:val="28"/>
          <w:szCs w:val="28"/>
        </w:rPr>
        <w:t xml:space="preserve">         </w:t>
      </w:r>
    </w:p>
    <w:p>
      <w:pPr>
        <w:spacing w:line="300" w:lineRule="auto"/>
        <w:rPr>
          <w:rFonts w:hint="eastAsia" w:ascii="仿宋" w:hAnsi="仿宋" w:eastAsia="仿宋" w:cs="仿宋"/>
          <w:sz w:val="30"/>
          <w:szCs w:val="30"/>
        </w:rPr>
      </w:pPr>
    </w:p>
    <w:p>
      <w:pPr>
        <w:spacing w:line="300" w:lineRule="auto"/>
        <w:rPr>
          <w:rFonts w:hint="eastAsia" w:ascii="仿宋" w:hAnsi="仿宋" w:eastAsia="仿宋" w:cs="仿宋"/>
          <w:sz w:val="30"/>
          <w:szCs w:val="30"/>
        </w:rPr>
      </w:pPr>
    </w:p>
    <w:p>
      <w:pPr>
        <w:spacing w:line="300" w:lineRule="auto"/>
        <w:rPr>
          <w:rFonts w:hint="eastAsia" w:ascii="仿宋" w:hAnsi="仿宋" w:eastAsia="仿宋" w:cs="仿宋"/>
          <w:sz w:val="30"/>
          <w:szCs w:val="30"/>
        </w:rPr>
      </w:pPr>
    </w:p>
    <w:p>
      <w:pPr>
        <w:spacing w:line="300" w:lineRule="auto"/>
        <w:rPr>
          <w:rFonts w:hint="eastAsia" w:ascii="仿宋" w:hAnsi="仿宋" w:eastAsia="仿宋" w:cs="仿宋"/>
          <w:sz w:val="30"/>
          <w:szCs w:val="30"/>
        </w:rPr>
      </w:pPr>
    </w:p>
    <w:p>
      <w:pPr>
        <w:spacing w:line="300" w:lineRule="auto"/>
        <w:rPr>
          <w:rFonts w:hint="eastAsia" w:ascii="仿宋" w:hAnsi="仿宋" w:eastAsia="仿宋" w:cs="仿宋"/>
          <w:sz w:val="30"/>
          <w:szCs w:val="30"/>
        </w:rPr>
      </w:pPr>
    </w:p>
    <w:p>
      <w:pPr>
        <w:rPr>
          <w:rFonts w:hint="eastAsia" w:ascii="黑体" w:hAnsi="黑体" w:eastAsia="黑体" w:cs="黑体"/>
          <w:sz w:val="28"/>
          <w:szCs w:val="28"/>
        </w:rPr>
      </w:pPr>
      <w:r>
        <w:rPr>
          <w:rFonts w:hint="eastAsia" w:ascii="仿宋" w:hAnsi="仿宋" w:eastAsia="仿宋" w:cs="仿宋"/>
          <w:sz w:val="30"/>
          <w:szCs w:val="30"/>
        </w:rPr>
        <w:br w:type="page"/>
      </w:r>
      <w:r>
        <w:rPr>
          <w:rFonts w:hint="eastAsia" w:ascii="黑体" w:hAnsi="黑体" w:eastAsia="黑体" w:cs="黑体"/>
          <w:sz w:val="28"/>
          <w:szCs w:val="28"/>
        </w:rPr>
        <w:t>附件1</w:t>
      </w:r>
    </w:p>
    <w:p>
      <w:pPr>
        <w:spacing w:before="156" w:beforeLines="50" w:after="156" w:after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市级行政事业单位国有资产处置申报审批表</w:t>
      </w:r>
    </w:p>
    <w:p>
      <w:pPr>
        <w:spacing w:after="156" w:afterLines="50"/>
        <w:jc w:val="left"/>
        <w:rPr>
          <w:rFonts w:hint="eastAsia" w:ascii="宋体" w:hAnsi="宋体" w:cs="宋体"/>
          <w:sz w:val="22"/>
        </w:rPr>
      </w:pPr>
      <w:r>
        <w:rPr>
          <w:rFonts w:hint="eastAsia" w:ascii="宋体" w:hAnsi="宋体" w:cs="宋体"/>
          <w:sz w:val="22"/>
        </w:rPr>
        <w:t>填报部门：（公章）          填报日期：                金额单位：元列至角分</w:t>
      </w:r>
    </w:p>
    <w:tbl>
      <w:tblPr>
        <w:tblStyle w:val="3"/>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86"/>
        <w:gridCol w:w="675"/>
        <w:gridCol w:w="780"/>
        <w:gridCol w:w="1350"/>
        <w:gridCol w:w="1185"/>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55" w:type="dxa"/>
            <w:noWrap w:val="0"/>
            <w:vAlign w:val="center"/>
          </w:tcPr>
          <w:p>
            <w:pPr>
              <w:jc w:val="center"/>
              <w:rPr>
                <w:rFonts w:hint="eastAsia" w:ascii="宋体" w:hAnsi="宋体" w:eastAsia="宋体" w:cs="宋体"/>
              </w:rPr>
            </w:pPr>
            <w:r>
              <w:rPr>
                <w:rFonts w:hint="eastAsia" w:ascii="宋体" w:hAnsi="宋体" w:eastAsia="宋体" w:cs="宋体"/>
              </w:rPr>
              <w:t>序号</w:t>
            </w:r>
          </w:p>
        </w:tc>
        <w:tc>
          <w:tcPr>
            <w:tcW w:w="1386" w:type="dxa"/>
            <w:noWrap w:val="0"/>
            <w:vAlign w:val="center"/>
          </w:tcPr>
          <w:p>
            <w:pPr>
              <w:jc w:val="center"/>
              <w:rPr>
                <w:rFonts w:hint="eastAsia" w:ascii="宋体" w:hAnsi="宋体" w:eastAsia="宋体" w:cs="宋体"/>
              </w:rPr>
            </w:pPr>
            <w:r>
              <w:rPr>
                <w:rFonts w:hint="eastAsia" w:ascii="宋体" w:hAnsi="宋体" w:eastAsia="宋体" w:cs="宋体"/>
              </w:rPr>
              <w:t>资产名称</w:t>
            </w:r>
          </w:p>
        </w:tc>
        <w:tc>
          <w:tcPr>
            <w:tcW w:w="675" w:type="dxa"/>
            <w:noWrap w:val="0"/>
            <w:vAlign w:val="center"/>
          </w:tcPr>
          <w:p>
            <w:pPr>
              <w:jc w:val="center"/>
              <w:rPr>
                <w:rFonts w:hint="eastAsia" w:ascii="宋体" w:hAnsi="宋体" w:eastAsia="宋体" w:cs="宋体"/>
              </w:rPr>
            </w:pPr>
            <w:r>
              <w:rPr>
                <w:rFonts w:hint="eastAsia" w:ascii="宋体" w:hAnsi="宋体" w:eastAsia="宋体" w:cs="宋体"/>
              </w:rPr>
              <w:t>单位</w:t>
            </w:r>
          </w:p>
        </w:tc>
        <w:tc>
          <w:tcPr>
            <w:tcW w:w="780" w:type="dxa"/>
            <w:noWrap w:val="0"/>
            <w:vAlign w:val="center"/>
          </w:tcPr>
          <w:p>
            <w:pPr>
              <w:jc w:val="center"/>
              <w:rPr>
                <w:rFonts w:hint="eastAsia" w:ascii="宋体" w:hAnsi="宋体" w:eastAsia="宋体" w:cs="宋体"/>
              </w:rPr>
            </w:pPr>
            <w:r>
              <w:rPr>
                <w:rFonts w:hint="eastAsia" w:ascii="宋体" w:hAnsi="宋体" w:eastAsia="宋体" w:cs="宋体"/>
              </w:rPr>
              <w:t>数量</w:t>
            </w:r>
          </w:p>
        </w:tc>
        <w:tc>
          <w:tcPr>
            <w:tcW w:w="1350" w:type="dxa"/>
            <w:noWrap w:val="0"/>
            <w:vAlign w:val="center"/>
          </w:tcPr>
          <w:p>
            <w:pPr>
              <w:jc w:val="center"/>
              <w:rPr>
                <w:rFonts w:hint="eastAsia" w:ascii="宋体" w:hAnsi="宋体" w:eastAsia="宋体" w:cs="宋体"/>
              </w:rPr>
            </w:pPr>
            <w:r>
              <w:rPr>
                <w:rFonts w:hint="eastAsia" w:ascii="宋体" w:hAnsi="宋体" w:eastAsia="宋体" w:cs="宋体"/>
              </w:rPr>
              <w:t>购入年份</w:t>
            </w:r>
          </w:p>
        </w:tc>
        <w:tc>
          <w:tcPr>
            <w:tcW w:w="1185" w:type="dxa"/>
            <w:noWrap w:val="0"/>
            <w:vAlign w:val="center"/>
          </w:tcPr>
          <w:p>
            <w:pPr>
              <w:jc w:val="center"/>
              <w:rPr>
                <w:rFonts w:hint="eastAsia" w:ascii="宋体" w:hAnsi="宋体" w:eastAsia="宋体" w:cs="宋体"/>
              </w:rPr>
            </w:pPr>
            <w:r>
              <w:rPr>
                <w:rFonts w:hint="eastAsia" w:ascii="宋体" w:hAnsi="宋体" w:eastAsia="宋体" w:cs="宋体"/>
              </w:rPr>
              <w:t>单价</w:t>
            </w:r>
          </w:p>
        </w:tc>
        <w:tc>
          <w:tcPr>
            <w:tcW w:w="1410" w:type="dxa"/>
            <w:noWrap w:val="0"/>
            <w:vAlign w:val="center"/>
          </w:tcPr>
          <w:p>
            <w:pPr>
              <w:jc w:val="center"/>
              <w:rPr>
                <w:rFonts w:hint="eastAsia" w:ascii="宋体" w:hAnsi="宋体" w:eastAsia="宋体" w:cs="宋体"/>
              </w:rPr>
            </w:pPr>
            <w:r>
              <w:rPr>
                <w:rFonts w:hint="eastAsia" w:ascii="宋体" w:hAnsi="宋体" w:eastAsia="宋体" w:cs="宋体"/>
              </w:rPr>
              <w:t>单位原值</w:t>
            </w:r>
          </w:p>
        </w:tc>
        <w:tc>
          <w:tcPr>
            <w:tcW w:w="1440" w:type="dxa"/>
            <w:noWrap w:val="0"/>
            <w:vAlign w:val="center"/>
          </w:tcPr>
          <w:p>
            <w:pPr>
              <w:jc w:val="center"/>
              <w:rPr>
                <w:rFonts w:hint="eastAsia" w:ascii="宋体" w:hAnsi="宋体" w:eastAsia="宋体" w:cs="宋体"/>
              </w:rPr>
            </w:pPr>
            <w:r>
              <w:rPr>
                <w:rFonts w:hint="eastAsia" w:ascii="宋体" w:hAnsi="宋体" w:eastAsia="宋体" w:cs="宋体"/>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55" w:type="dxa"/>
            <w:noWrap w:val="0"/>
            <w:vAlign w:val="center"/>
          </w:tcPr>
          <w:p>
            <w:pPr>
              <w:widowControl/>
              <w:jc w:val="center"/>
              <w:rPr>
                <w:rFonts w:hint="eastAsia" w:ascii="宋体" w:hAnsi="宋体" w:eastAsia="宋体" w:cs="宋体"/>
                <w:color w:val="000000"/>
                <w:szCs w:val="21"/>
              </w:rPr>
            </w:pPr>
          </w:p>
        </w:tc>
        <w:tc>
          <w:tcPr>
            <w:tcW w:w="1386" w:type="dxa"/>
            <w:noWrap w:val="0"/>
            <w:vAlign w:val="bottom"/>
          </w:tcPr>
          <w:p>
            <w:pPr>
              <w:widowControl/>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widowControl/>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widowControl/>
              <w:jc w:val="left"/>
              <w:rPr>
                <w:rFonts w:hint="eastAsia" w:ascii="宋体" w:hAnsi="宋体" w:eastAsia="宋体" w:cs="宋体"/>
                <w:color w:val="000000"/>
                <w:kern w:val="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bottom"/>
          </w:tcPr>
          <w:p>
            <w:pPr>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widowControl/>
              <w:jc w:val="left"/>
              <w:textAlignment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55" w:type="dxa"/>
            <w:noWrap w:val="0"/>
            <w:vAlign w:val="center"/>
          </w:tcPr>
          <w:p>
            <w:pPr>
              <w:jc w:val="center"/>
              <w:rPr>
                <w:rFonts w:hint="eastAsia" w:ascii="宋体" w:hAnsi="宋体" w:eastAsia="宋体" w:cs="宋体"/>
                <w:color w:val="000000"/>
                <w:szCs w:val="21"/>
              </w:rPr>
            </w:pPr>
          </w:p>
        </w:tc>
        <w:tc>
          <w:tcPr>
            <w:tcW w:w="1386" w:type="dxa"/>
            <w:noWrap w:val="0"/>
            <w:vAlign w:val="bottom"/>
          </w:tcPr>
          <w:p>
            <w:pPr>
              <w:jc w:val="left"/>
              <w:rPr>
                <w:rFonts w:hint="eastAsia" w:ascii="宋体" w:hAnsi="宋体" w:eastAsia="宋体" w:cs="宋体"/>
                <w:color w:val="000000"/>
                <w:szCs w:val="21"/>
              </w:rPr>
            </w:pPr>
          </w:p>
        </w:tc>
        <w:tc>
          <w:tcPr>
            <w:tcW w:w="675" w:type="dxa"/>
            <w:noWrap w:val="0"/>
            <w:vAlign w:val="center"/>
          </w:tcPr>
          <w:p>
            <w:pPr>
              <w:jc w:val="left"/>
              <w:rPr>
                <w:rFonts w:hint="eastAsia" w:ascii="宋体" w:hAnsi="宋体" w:eastAsia="宋体" w:cs="宋体"/>
                <w:color w:val="000000"/>
                <w:szCs w:val="21"/>
              </w:rPr>
            </w:pPr>
          </w:p>
        </w:tc>
        <w:tc>
          <w:tcPr>
            <w:tcW w:w="780" w:type="dxa"/>
            <w:noWrap w:val="0"/>
            <w:vAlign w:val="bottom"/>
          </w:tcPr>
          <w:p>
            <w:pPr>
              <w:jc w:val="left"/>
              <w:rPr>
                <w:rFonts w:hint="eastAsia" w:ascii="宋体" w:hAnsi="宋体" w:eastAsia="宋体" w:cs="宋体"/>
                <w:color w:val="000000"/>
                <w:szCs w:val="21"/>
              </w:rPr>
            </w:pPr>
          </w:p>
        </w:tc>
        <w:tc>
          <w:tcPr>
            <w:tcW w:w="1350" w:type="dxa"/>
            <w:noWrap w:val="0"/>
            <w:vAlign w:val="bottom"/>
          </w:tcPr>
          <w:p>
            <w:pPr>
              <w:jc w:val="left"/>
              <w:rPr>
                <w:rFonts w:hint="eastAsia" w:ascii="宋体" w:hAnsi="宋体" w:eastAsia="宋体" w:cs="宋体"/>
                <w:color w:val="000000"/>
                <w:szCs w:val="21"/>
              </w:rPr>
            </w:pPr>
          </w:p>
        </w:tc>
        <w:tc>
          <w:tcPr>
            <w:tcW w:w="1185" w:type="dxa"/>
            <w:noWrap w:val="0"/>
            <w:vAlign w:val="center"/>
          </w:tcPr>
          <w:p>
            <w:pPr>
              <w:rPr>
                <w:rFonts w:hint="eastAsia" w:ascii="宋体" w:hAnsi="宋体" w:eastAsia="宋体" w:cs="宋体"/>
                <w:color w:val="000000"/>
                <w:szCs w:val="21"/>
              </w:rPr>
            </w:pPr>
          </w:p>
        </w:tc>
        <w:tc>
          <w:tcPr>
            <w:tcW w:w="1410" w:type="dxa"/>
            <w:noWrap w:val="0"/>
            <w:vAlign w:val="center"/>
          </w:tcPr>
          <w:p>
            <w:pPr>
              <w:rPr>
                <w:rFonts w:hint="eastAsia" w:ascii="宋体" w:hAnsi="宋体" w:eastAsia="宋体" w:cs="宋体"/>
                <w:color w:val="000000"/>
                <w:szCs w:val="21"/>
              </w:rPr>
            </w:pPr>
          </w:p>
        </w:tc>
        <w:tc>
          <w:tcPr>
            <w:tcW w:w="1440" w:type="dxa"/>
            <w:noWrap w:val="0"/>
            <w:vAlign w:val="center"/>
          </w:tcPr>
          <w:p>
            <w:pPr>
              <w:jc w:val="center"/>
              <w:rPr>
                <w:rFonts w:hint="eastAsia" w:ascii="宋体" w:hAnsi="宋体" w:eastAsia="宋体" w:cs="宋体"/>
                <w:sz w:val="22"/>
              </w:rPr>
            </w:pPr>
          </w:p>
        </w:tc>
      </w:tr>
    </w:tbl>
    <w:p>
      <w:pPr>
        <w:rPr>
          <w:rFonts w:hint="eastAsia" w:ascii="黑体" w:hAnsi="黑体" w:eastAsia="黑体" w:cs="黑体"/>
          <w:sz w:val="28"/>
          <w:szCs w:val="28"/>
        </w:rPr>
      </w:pPr>
      <w:r>
        <w:rPr>
          <w:rFonts w:hint="eastAsia" w:ascii="黑体" w:hAnsi="黑体" w:eastAsia="黑体" w:cs="黑体"/>
          <w:sz w:val="28"/>
          <w:szCs w:val="28"/>
        </w:rPr>
        <w:t>附件2</w:t>
      </w:r>
    </w:p>
    <w:p>
      <w:pPr>
        <w:spacing w:before="156" w:beforeLines="50" w:after="156" w:after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台州科技职业学院国有资产处置申报表</w:t>
      </w:r>
    </w:p>
    <w:p>
      <w:pPr>
        <w:spacing w:after="156" w:afterLines="50"/>
        <w:jc w:val="left"/>
        <w:rPr>
          <w:rFonts w:hint="eastAsia" w:ascii="宋体" w:hAnsi="宋体" w:cs="宋体"/>
          <w:sz w:val="22"/>
        </w:rPr>
      </w:pPr>
      <w:r>
        <w:rPr>
          <w:rFonts w:hint="eastAsia" w:ascii="宋体" w:hAnsi="宋体" w:cs="宋体"/>
          <w:sz w:val="22"/>
        </w:rPr>
        <w:t>填报单位：  （盖章）          填报日期：               金额单位：元列至角分</w:t>
      </w:r>
    </w:p>
    <w:tbl>
      <w:tblPr>
        <w:tblStyle w:val="3"/>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84"/>
        <w:gridCol w:w="1560"/>
        <w:gridCol w:w="1324"/>
        <w:gridCol w:w="713"/>
        <w:gridCol w:w="116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704"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2184" w:type="dxa"/>
            <w:noWrap w:val="0"/>
            <w:vAlign w:val="center"/>
          </w:tcPr>
          <w:p>
            <w:pPr>
              <w:jc w:val="center"/>
              <w:rPr>
                <w:rFonts w:hint="eastAsia" w:ascii="宋体" w:hAnsi="宋体" w:eastAsia="宋体" w:cs="宋体"/>
                <w:sz w:val="24"/>
              </w:rPr>
            </w:pPr>
            <w:r>
              <w:rPr>
                <w:rFonts w:hint="eastAsia" w:ascii="宋体" w:hAnsi="宋体" w:eastAsia="宋体" w:cs="宋体"/>
                <w:sz w:val="24"/>
              </w:rPr>
              <w:t>资产名称</w:t>
            </w:r>
          </w:p>
        </w:tc>
        <w:tc>
          <w:tcPr>
            <w:tcW w:w="1560" w:type="dxa"/>
            <w:noWrap w:val="0"/>
            <w:vAlign w:val="center"/>
          </w:tcPr>
          <w:p>
            <w:pPr>
              <w:jc w:val="center"/>
              <w:rPr>
                <w:rFonts w:hint="eastAsia" w:ascii="宋体" w:hAnsi="宋体" w:eastAsia="宋体" w:cs="宋体"/>
                <w:sz w:val="24"/>
              </w:rPr>
            </w:pPr>
            <w:r>
              <w:rPr>
                <w:rFonts w:hint="eastAsia" w:ascii="宋体" w:hAnsi="宋体" w:eastAsia="宋体" w:cs="宋体"/>
                <w:sz w:val="24"/>
              </w:rPr>
              <w:t>型号规格</w:t>
            </w:r>
          </w:p>
        </w:tc>
        <w:tc>
          <w:tcPr>
            <w:tcW w:w="1324" w:type="dxa"/>
            <w:noWrap w:val="0"/>
            <w:vAlign w:val="center"/>
          </w:tcPr>
          <w:p>
            <w:pPr>
              <w:jc w:val="center"/>
              <w:rPr>
                <w:rFonts w:hint="eastAsia" w:ascii="宋体" w:hAnsi="宋体" w:eastAsia="宋体" w:cs="宋体"/>
                <w:sz w:val="24"/>
              </w:rPr>
            </w:pPr>
            <w:r>
              <w:rPr>
                <w:rFonts w:hint="eastAsia" w:ascii="宋体" w:hAnsi="宋体" w:eastAsia="宋体" w:cs="宋体"/>
                <w:sz w:val="24"/>
              </w:rPr>
              <w:t>购入日期</w:t>
            </w:r>
          </w:p>
        </w:tc>
        <w:tc>
          <w:tcPr>
            <w:tcW w:w="713"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164" w:type="dxa"/>
            <w:noWrap w:val="0"/>
            <w:vAlign w:val="center"/>
          </w:tcPr>
          <w:p>
            <w:pPr>
              <w:jc w:val="center"/>
              <w:rPr>
                <w:rFonts w:hint="eastAsia" w:ascii="宋体" w:hAnsi="宋体" w:eastAsia="宋体" w:cs="宋体"/>
                <w:sz w:val="24"/>
              </w:rPr>
            </w:pPr>
            <w:r>
              <w:rPr>
                <w:rFonts w:hint="eastAsia" w:ascii="宋体" w:hAnsi="宋体" w:eastAsia="宋体" w:cs="宋体"/>
                <w:sz w:val="24"/>
              </w:rPr>
              <w:t>单价</w:t>
            </w:r>
          </w:p>
        </w:tc>
        <w:tc>
          <w:tcPr>
            <w:tcW w:w="1359" w:type="dxa"/>
            <w:noWrap w:val="0"/>
            <w:vAlign w:val="center"/>
          </w:tcPr>
          <w:p>
            <w:pPr>
              <w:jc w:val="center"/>
              <w:rPr>
                <w:rFonts w:hint="eastAsia" w:ascii="宋体" w:hAnsi="宋体" w:eastAsia="宋体" w:cs="宋体"/>
                <w:sz w:val="24"/>
              </w:rPr>
            </w:pPr>
            <w:r>
              <w:rPr>
                <w:rFonts w:hint="eastAsia" w:ascii="宋体" w:hAnsi="宋体" w:eastAsia="宋体" w:cs="宋体"/>
                <w:sz w:val="24"/>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sz w:val="24"/>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sz w:val="24"/>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sz w:val="24"/>
              </w:rPr>
            </w:pPr>
          </w:p>
        </w:tc>
        <w:tc>
          <w:tcPr>
            <w:tcW w:w="1359"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noWrap w:val="0"/>
            <w:vAlign w:val="center"/>
          </w:tcPr>
          <w:p>
            <w:pPr>
              <w:jc w:val="center"/>
              <w:rPr>
                <w:rFonts w:hint="eastAsia" w:ascii="宋体" w:hAnsi="宋体" w:eastAsia="宋体" w:cs="宋体"/>
                <w:color w:val="000000"/>
                <w:sz w:val="22"/>
              </w:rPr>
            </w:pPr>
          </w:p>
        </w:tc>
        <w:tc>
          <w:tcPr>
            <w:tcW w:w="2184" w:type="dxa"/>
            <w:noWrap w:val="0"/>
            <w:vAlign w:val="center"/>
          </w:tcPr>
          <w:p>
            <w:pPr>
              <w:jc w:val="center"/>
              <w:rPr>
                <w:rFonts w:hint="eastAsia" w:ascii="宋体" w:hAnsi="宋体" w:eastAsia="宋体" w:cs="宋体"/>
                <w:color w:val="000000"/>
                <w:sz w:val="22"/>
              </w:rPr>
            </w:pPr>
          </w:p>
        </w:tc>
        <w:tc>
          <w:tcPr>
            <w:tcW w:w="1560" w:type="dxa"/>
            <w:noWrap w:val="0"/>
            <w:vAlign w:val="center"/>
          </w:tcPr>
          <w:p>
            <w:pPr>
              <w:jc w:val="center"/>
              <w:rPr>
                <w:rFonts w:hint="eastAsia" w:ascii="宋体" w:hAnsi="宋体" w:eastAsia="宋体" w:cs="宋体"/>
                <w:color w:val="000000"/>
                <w:sz w:val="22"/>
              </w:rPr>
            </w:pPr>
          </w:p>
        </w:tc>
        <w:tc>
          <w:tcPr>
            <w:tcW w:w="1324" w:type="dxa"/>
            <w:noWrap w:val="0"/>
            <w:vAlign w:val="center"/>
          </w:tcPr>
          <w:p>
            <w:pPr>
              <w:jc w:val="center"/>
              <w:rPr>
                <w:rFonts w:hint="eastAsia" w:ascii="宋体" w:hAnsi="宋体" w:eastAsia="宋体" w:cs="宋体"/>
                <w:color w:val="000000"/>
                <w:sz w:val="22"/>
              </w:rPr>
            </w:pPr>
          </w:p>
        </w:tc>
        <w:tc>
          <w:tcPr>
            <w:tcW w:w="713" w:type="dxa"/>
            <w:noWrap w:val="0"/>
            <w:vAlign w:val="center"/>
          </w:tcPr>
          <w:p>
            <w:pPr>
              <w:jc w:val="center"/>
              <w:rPr>
                <w:rFonts w:hint="eastAsia" w:ascii="宋体" w:hAnsi="宋体" w:eastAsia="宋体" w:cs="宋体"/>
                <w:sz w:val="24"/>
              </w:rPr>
            </w:pPr>
          </w:p>
        </w:tc>
        <w:tc>
          <w:tcPr>
            <w:tcW w:w="1164" w:type="dxa"/>
            <w:noWrap w:val="0"/>
            <w:vAlign w:val="center"/>
          </w:tcPr>
          <w:p>
            <w:pPr>
              <w:jc w:val="center"/>
              <w:rPr>
                <w:rFonts w:hint="eastAsia" w:ascii="宋体" w:hAnsi="宋体" w:eastAsia="宋体" w:cs="宋体"/>
                <w:color w:val="000000"/>
                <w:sz w:val="22"/>
              </w:rPr>
            </w:pPr>
          </w:p>
        </w:tc>
        <w:tc>
          <w:tcPr>
            <w:tcW w:w="1359" w:type="dxa"/>
            <w:noWrap w:val="0"/>
            <w:vAlign w:val="center"/>
          </w:tcPr>
          <w:p>
            <w:pPr>
              <w:jc w:val="center"/>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9" w:type="dxa"/>
            <w:gridSpan w:val="6"/>
            <w:noWrap w:val="0"/>
            <w:vAlign w:val="center"/>
          </w:tcPr>
          <w:p>
            <w:pPr>
              <w:jc w:val="center"/>
              <w:rPr>
                <w:rFonts w:hint="eastAsia" w:ascii="宋体" w:hAnsi="宋体" w:eastAsia="宋体" w:cs="宋体"/>
                <w:sz w:val="24"/>
              </w:rPr>
            </w:pPr>
            <w:r>
              <w:rPr>
                <w:rFonts w:hint="eastAsia" w:ascii="宋体" w:hAnsi="宋体" w:eastAsia="宋体" w:cs="宋体"/>
                <w:sz w:val="24"/>
              </w:rPr>
              <w:t>合计</w:t>
            </w:r>
          </w:p>
        </w:tc>
        <w:tc>
          <w:tcPr>
            <w:tcW w:w="1359" w:type="dxa"/>
            <w:noWrap w:val="0"/>
            <w:vAlign w:val="center"/>
          </w:tcPr>
          <w:p>
            <w:pPr>
              <w:jc w:val="center"/>
              <w:rPr>
                <w:rFonts w:hint="eastAsia" w:ascii="宋体" w:hAnsi="宋体" w:eastAsia="宋体" w:cs="宋体"/>
                <w:sz w:val="24"/>
              </w:rPr>
            </w:pPr>
          </w:p>
        </w:tc>
      </w:tr>
    </w:tbl>
    <w:p>
      <w:pPr>
        <w:rPr>
          <w:rFonts w:hint="eastAsia" w:ascii="黑体" w:hAnsi="黑体" w:eastAsia="黑体" w:cs="黑体"/>
          <w:sz w:val="28"/>
          <w:szCs w:val="28"/>
        </w:rPr>
      </w:pPr>
      <w:r>
        <w:rPr>
          <w:rFonts w:hint="eastAsia" w:ascii="黑体" w:hAnsi="黑体" w:eastAsia="黑体" w:cs="黑体"/>
          <w:sz w:val="28"/>
          <w:szCs w:val="28"/>
        </w:rPr>
        <w:t>附件3</w:t>
      </w:r>
    </w:p>
    <w:p>
      <w:pPr>
        <w:spacing w:before="156" w:beforeLines="50" w:after="156" w:after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常用固定资产使用年限表</w:t>
      </w:r>
    </w:p>
    <w:tbl>
      <w:tblPr>
        <w:tblStyle w:val="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578"/>
        <w:gridCol w:w="3163"/>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noWrap/>
            <w:vAlign w:val="center"/>
          </w:tcPr>
          <w:p>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固定资产类别</w:t>
            </w:r>
          </w:p>
        </w:tc>
        <w:tc>
          <w:tcPr>
            <w:tcW w:w="4741" w:type="dxa"/>
            <w:gridSpan w:val="2"/>
            <w:noWrap/>
            <w:vAlign w:val="center"/>
          </w:tcPr>
          <w:p>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内容</w:t>
            </w:r>
          </w:p>
        </w:tc>
        <w:tc>
          <w:tcPr>
            <w:tcW w:w="2057" w:type="dxa"/>
            <w:noWrap/>
            <w:vAlign w:val="center"/>
          </w:tcPr>
          <w:p>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restart"/>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房屋及构筑物</w:t>
            </w:r>
          </w:p>
        </w:tc>
        <w:tc>
          <w:tcPr>
            <w:tcW w:w="1578" w:type="dxa"/>
            <w:vMerge w:val="restart"/>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业务及管理用房</w:t>
            </w:r>
          </w:p>
        </w:tc>
        <w:tc>
          <w:tcPr>
            <w:tcW w:w="3163" w:type="dxa"/>
            <w:noWrap w:val="0"/>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钢结构</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1578" w:type="dxa"/>
            <w:vMerge w:val="continue"/>
            <w:noWrap/>
            <w:vAlign w:val="center"/>
          </w:tcPr>
          <w:p>
            <w:pPr>
              <w:widowControl/>
              <w:spacing w:line="360" w:lineRule="exact"/>
              <w:jc w:val="center"/>
              <w:rPr>
                <w:rFonts w:hint="eastAsia" w:ascii="宋体" w:hAnsi="宋体" w:eastAsia="宋体" w:cs="宋体"/>
                <w:kern w:val="0"/>
                <w:sz w:val="24"/>
              </w:rPr>
            </w:pPr>
          </w:p>
        </w:tc>
        <w:tc>
          <w:tcPr>
            <w:tcW w:w="3163" w:type="dxa"/>
            <w:noWrap w:val="0"/>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钢筋混凝土结构</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1578" w:type="dxa"/>
            <w:vMerge w:val="continue"/>
            <w:noWrap/>
            <w:vAlign w:val="center"/>
          </w:tcPr>
          <w:p>
            <w:pPr>
              <w:widowControl/>
              <w:spacing w:line="360" w:lineRule="exact"/>
              <w:jc w:val="center"/>
              <w:rPr>
                <w:rFonts w:hint="eastAsia" w:ascii="宋体" w:hAnsi="宋体" w:eastAsia="宋体" w:cs="宋体"/>
                <w:kern w:val="0"/>
                <w:sz w:val="24"/>
              </w:rPr>
            </w:pPr>
          </w:p>
        </w:tc>
        <w:tc>
          <w:tcPr>
            <w:tcW w:w="3163" w:type="dxa"/>
            <w:noWrap w:val="0"/>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砖混结构</w:t>
            </w:r>
          </w:p>
        </w:tc>
        <w:tc>
          <w:tcPr>
            <w:tcW w:w="2057" w:type="dxa"/>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1578" w:type="dxa"/>
            <w:vMerge w:val="continue"/>
            <w:noWrap/>
            <w:vAlign w:val="center"/>
          </w:tcPr>
          <w:p>
            <w:pPr>
              <w:widowControl/>
              <w:spacing w:line="360" w:lineRule="exact"/>
              <w:jc w:val="center"/>
              <w:rPr>
                <w:rFonts w:hint="eastAsia" w:ascii="宋体" w:hAnsi="宋体" w:eastAsia="宋体" w:cs="宋体"/>
                <w:kern w:val="0"/>
                <w:sz w:val="24"/>
              </w:rPr>
            </w:pPr>
          </w:p>
        </w:tc>
        <w:tc>
          <w:tcPr>
            <w:tcW w:w="3163" w:type="dxa"/>
            <w:noWrap w:val="0"/>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砖木结构</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简易房</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房屋附属设施</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构筑物</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restart"/>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通用设备</w:t>
            </w: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计算机设备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办公设备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车辆</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图书档案设备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机械设备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电气设备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雷达、无线电和卫星导航设备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通信设备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广播、电视、电影设备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仪器仪表</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电子和通信测量设备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计量标准器具及量具、衡器</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restart"/>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专用设备</w:t>
            </w: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探矿、采矿、选矿和造块设备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石油天然气开采专用设备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石油和化学工业专用设备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炼焦和金属冶炼轧制设备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电力工业专用设备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非金属矿物制品工业专用设备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核工业专用设备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航空航天工业专用设备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工程机械</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农业和林业机械</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木材采集和加工设备</w:t>
            </w:r>
          </w:p>
        </w:tc>
        <w:tc>
          <w:tcPr>
            <w:tcW w:w="2057" w:type="dxa"/>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食品加工专用设备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饮料加工设备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烟草加工设备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粮油作物和饲料加工设备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纺织设备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缝纫、服饰、制革和毛皮加工设备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造纸和印刷机械</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化学药品和中药专用设备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医疗设备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电工、电子专用生产设备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安全生产设备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邮政专用设备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环境污染防治设备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公安专用设备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水工机械</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殡葬设备及用品</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铁路运输设备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tabs>
                <w:tab w:val="center" w:pos="4153"/>
                <w:tab w:val="right" w:pos="8306"/>
              </w:tabs>
              <w:snapToGri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水上交通运输设备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航空器及其配套设备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专用仪器仪表</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文艺设备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体育设备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58" w:type="dxa"/>
            <w:vMerge w:val="continue"/>
            <w:noWrap w:val="0"/>
            <w:vAlign w:val="center"/>
          </w:tcPr>
          <w:p>
            <w:pPr>
              <w:widowControl/>
              <w:spacing w:line="360" w:lineRule="exact"/>
              <w:jc w:val="left"/>
              <w:rPr>
                <w:rFonts w:hint="eastAsia" w:ascii="宋体" w:hAnsi="宋体" w:eastAsia="宋体" w:cs="宋体"/>
                <w:kern w:val="0"/>
                <w:sz w:val="24"/>
              </w:rPr>
            </w:pP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娱乐设备</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58" w:type="dxa"/>
            <w:vMerge w:val="restart"/>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家具、用具及装具</w:t>
            </w:r>
          </w:p>
        </w:tc>
        <w:tc>
          <w:tcPr>
            <w:tcW w:w="4741" w:type="dxa"/>
            <w:gridSpan w:val="2"/>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家具</w:t>
            </w:r>
          </w:p>
        </w:tc>
        <w:tc>
          <w:tcPr>
            <w:tcW w:w="2057" w:type="dxa"/>
            <w:noWrap/>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trPr>
        <w:tc>
          <w:tcPr>
            <w:tcW w:w="2258" w:type="dxa"/>
            <w:vMerge w:val="continue"/>
            <w:noWrap/>
            <w:vAlign w:val="center"/>
          </w:tcPr>
          <w:p>
            <w:pPr>
              <w:widowControl/>
              <w:spacing w:line="360" w:lineRule="exact"/>
              <w:jc w:val="center"/>
              <w:rPr>
                <w:rFonts w:hint="eastAsia" w:ascii="宋体" w:hAnsi="宋体" w:eastAsia="宋体" w:cs="宋体"/>
                <w:kern w:val="0"/>
                <w:sz w:val="24"/>
              </w:rPr>
            </w:pPr>
          </w:p>
        </w:tc>
        <w:tc>
          <w:tcPr>
            <w:tcW w:w="4741" w:type="dxa"/>
            <w:gridSpan w:val="2"/>
            <w:noWrap/>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用具、装具</w:t>
            </w:r>
          </w:p>
        </w:tc>
        <w:tc>
          <w:tcPr>
            <w:tcW w:w="2057" w:type="dxa"/>
            <w:noWrap/>
            <w:vAlign w:val="center"/>
          </w:tcPr>
          <w:p>
            <w:pPr>
              <w:spacing w:line="360" w:lineRule="exact"/>
              <w:jc w:val="center"/>
              <w:rPr>
                <w:rFonts w:hint="eastAsia" w:ascii="宋体" w:hAnsi="宋体" w:eastAsia="宋体" w:cs="宋体"/>
                <w:kern w:val="0"/>
                <w:sz w:val="24"/>
              </w:rPr>
            </w:pPr>
            <w:r>
              <w:rPr>
                <w:rFonts w:hint="eastAsia" w:ascii="宋体" w:hAnsi="宋体" w:eastAsia="宋体" w:cs="宋体"/>
                <w:kern w:val="0"/>
                <w:sz w:val="24"/>
              </w:rPr>
              <w:t>不低于5</w:t>
            </w:r>
          </w:p>
        </w:tc>
      </w:tr>
    </w:tbl>
    <w:p>
      <w:pPr>
        <w:rPr>
          <w:rFonts w:hint="eastAsia" w:ascii="黑体" w:hAnsi="黑体" w:eastAsia="黑体" w:cs="黑体"/>
          <w:sz w:val="28"/>
          <w:szCs w:val="28"/>
        </w:rPr>
      </w:pPr>
      <w:r>
        <w:rPr>
          <w:rFonts w:hint="eastAsia" w:ascii="仿宋" w:hAnsi="仿宋" w:eastAsia="仿宋" w:cs="仿宋"/>
          <w:sz w:val="30"/>
          <w:szCs w:val="30"/>
        </w:rPr>
        <w:br w:type="page"/>
      </w:r>
      <w:r>
        <w:rPr>
          <w:rFonts w:hint="eastAsia" w:ascii="黑体" w:hAnsi="黑体" w:eastAsia="黑体" w:cs="黑体"/>
          <w:sz w:val="28"/>
          <w:szCs w:val="28"/>
        </w:rPr>
        <w:t>附件4</w:t>
      </w:r>
    </w:p>
    <w:p>
      <w:pPr>
        <w:spacing w:before="156" w:beforeLines="50" w:after="156" w:after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台州科技职业学院大型贵重仪器设备技术报废鉴定表</w:t>
      </w:r>
    </w:p>
    <w:tbl>
      <w:tblPr>
        <w:tblStyle w:val="3"/>
        <w:tblW w:w="9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559"/>
        <w:gridCol w:w="1300"/>
        <w:gridCol w:w="141"/>
        <w:gridCol w:w="1134"/>
        <w:gridCol w:w="850"/>
        <w:gridCol w:w="851"/>
        <w:gridCol w:w="1133"/>
        <w:gridCol w:w="14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26" w:type="dxa"/>
            <w:noWrap w:val="0"/>
            <w:vAlign w:val="center"/>
          </w:tcPr>
          <w:p>
            <w:pPr>
              <w:jc w:val="center"/>
              <w:rPr>
                <w:rFonts w:eastAsia="宋体"/>
              </w:rPr>
            </w:pPr>
            <w:r>
              <w:rPr>
                <w:rFonts w:hint="eastAsia" w:eastAsia="宋体" w:cs="宋体"/>
              </w:rPr>
              <w:t>设备编号</w:t>
            </w:r>
          </w:p>
        </w:tc>
        <w:tc>
          <w:tcPr>
            <w:tcW w:w="1559" w:type="dxa"/>
            <w:noWrap w:val="0"/>
            <w:vAlign w:val="center"/>
          </w:tcPr>
          <w:p>
            <w:pPr>
              <w:jc w:val="center"/>
              <w:rPr>
                <w:rFonts w:eastAsia="宋体"/>
              </w:rPr>
            </w:pPr>
            <w:r>
              <w:rPr>
                <w:rFonts w:hint="eastAsia" w:eastAsia="宋体" w:cs="宋体"/>
              </w:rPr>
              <w:t>设备名称</w:t>
            </w:r>
          </w:p>
        </w:tc>
        <w:tc>
          <w:tcPr>
            <w:tcW w:w="1300" w:type="dxa"/>
            <w:noWrap w:val="0"/>
            <w:vAlign w:val="center"/>
          </w:tcPr>
          <w:p>
            <w:pPr>
              <w:jc w:val="center"/>
              <w:rPr>
                <w:rFonts w:eastAsia="宋体"/>
              </w:rPr>
            </w:pPr>
            <w:r>
              <w:rPr>
                <w:rFonts w:hint="eastAsia" w:eastAsia="宋体" w:cs="宋体"/>
              </w:rPr>
              <w:t>型号</w:t>
            </w:r>
          </w:p>
        </w:tc>
        <w:tc>
          <w:tcPr>
            <w:tcW w:w="1275" w:type="dxa"/>
            <w:gridSpan w:val="2"/>
            <w:noWrap w:val="0"/>
            <w:vAlign w:val="center"/>
          </w:tcPr>
          <w:p>
            <w:pPr>
              <w:jc w:val="center"/>
              <w:rPr>
                <w:rFonts w:eastAsia="宋体"/>
              </w:rPr>
            </w:pPr>
            <w:r>
              <w:rPr>
                <w:rFonts w:hint="eastAsia" w:eastAsia="宋体" w:cs="宋体"/>
              </w:rPr>
              <w:t>规格</w:t>
            </w:r>
          </w:p>
        </w:tc>
        <w:tc>
          <w:tcPr>
            <w:tcW w:w="1701" w:type="dxa"/>
            <w:gridSpan w:val="2"/>
            <w:noWrap w:val="0"/>
            <w:vAlign w:val="center"/>
          </w:tcPr>
          <w:p>
            <w:pPr>
              <w:jc w:val="center"/>
              <w:rPr>
                <w:rFonts w:eastAsia="宋体"/>
              </w:rPr>
            </w:pPr>
            <w:r>
              <w:rPr>
                <w:rFonts w:hint="eastAsia" w:eastAsia="宋体" w:cs="宋体"/>
              </w:rPr>
              <w:t>价值（元）</w:t>
            </w:r>
          </w:p>
        </w:tc>
        <w:tc>
          <w:tcPr>
            <w:tcW w:w="1276" w:type="dxa"/>
            <w:gridSpan w:val="2"/>
            <w:noWrap w:val="0"/>
            <w:vAlign w:val="center"/>
          </w:tcPr>
          <w:p>
            <w:pPr>
              <w:jc w:val="center"/>
              <w:rPr>
                <w:rFonts w:eastAsia="宋体"/>
              </w:rPr>
            </w:pPr>
            <w:r>
              <w:rPr>
                <w:rFonts w:hint="eastAsia" w:eastAsia="宋体" w:cs="宋体"/>
              </w:rPr>
              <w:t>购置时间</w:t>
            </w:r>
          </w:p>
        </w:tc>
        <w:tc>
          <w:tcPr>
            <w:tcW w:w="1361" w:type="dxa"/>
            <w:noWrap w:val="0"/>
            <w:vAlign w:val="center"/>
          </w:tcPr>
          <w:p>
            <w:pPr>
              <w:jc w:val="center"/>
              <w:rPr>
                <w:rFonts w:eastAsia="宋体"/>
              </w:rPr>
            </w:pPr>
            <w:r>
              <w:rPr>
                <w:rFonts w:hint="eastAsia" w:eastAsia="宋体" w:cs="宋体"/>
              </w:rPr>
              <w:t>已使用年限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26" w:type="dxa"/>
            <w:noWrap w:val="0"/>
            <w:vAlign w:val="center"/>
          </w:tcPr>
          <w:p>
            <w:pPr>
              <w:rPr>
                <w:rFonts w:eastAsia="宋体"/>
              </w:rPr>
            </w:pPr>
          </w:p>
        </w:tc>
        <w:tc>
          <w:tcPr>
            <w:tcW w:w="1559" w:type="dxa"/>
            <w:noWrap w:val="0"/>
            <w:vAlign w:val="center"/>
          </w:tcPr>
          <w:p>
            <w:pPr>
              <w:jc w:val="center"/>
              <w:rPr>
                <w:rFonts w:eastAsia="宋体"/>
              </w:rPr>
            </w:pPr>
          </w:p>
        </w:tc>
        <w:tc>
          <w:tcPr>
            <w:tcW w:w="1300" w:type="dxa"/>
            <w:noWrap w:val="0"/>
            <w:vAlign w:val="center"/>
          </w:tcPr>
          <w:p>
            <w:pPr>
              <w:jc w:val="center"/>
              <w:rPr>
                <w:rFonts w:eastAsia="宋体"/>
              </w:rPr>
            </w:pPr>
          </w:p>
        </w:tc>
        <w:tc>
          <w:tcPr>
            <w:tcW w:w="1275" w:type="dxa"/>
            <w:gridSpan w:val="2"/>
            <w:noWrap w:val="0"/>
            <w:vAlign w:val="center"/>
          </w:tcPr>
          <w:p>
            <w:pPr>
              <w:jc w:val="center"/>
              <w:rPr>
                <w:rFonts w:eastAsia="宋体"/>
              </w:rPr>
            </w:pPr>
          </w:p>
        </w:tc>
        <w:tc>
          <w:tcPr>
            <w:tcW w:w="1701" w:type="dxa"/>
            <w:gridSpan w:val="2"/>
            <w:noWrap w:val="0"/>
            <w:vAlign w:val="center"/>
          </w:tcPr>
          <w:p>
            <w:pPr>
              <w:jc w:val="center"/>
              <w:rPr>
                <w:rFonts w:eastAsia="宋体"/>
              </w:rPr>
            </w:pPr>
          </w:p>
        </w:tc>
        <w:tc>
          <w:tcPr>
            <w:tcW w:w="1276" w:type="dxa"/>
            <w:gridSpan w:val="2"/>
            <w:noWrap w:val="0"/>
            <w:vAlign w:val="center"/>
          </w:tcPr>
          <w:p>
            <w:pPr>
              <w:jc w:val="center"/>
              <w:rPr>
                <w:rFonts w:eastAsia="宋体"/>
              </w:rPr>
            </w:pPr>
          </w:p>
        </w:tc>
        <w:tc>
          <w:tcPr>
            <w:tcW w:w="1361" w:type="dxa"/>
            <w:noWrap w:val="0"/>
            <w:vAlign w:val="center"/>
          </w:tcPr>
          <w:p>
            <w:pPr>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5" w:hRule="atLeast"/>
          <w:jc w:val="center"/>
        </w:trPr>
        <w:tc>
          <w:tcPr>
            <w:tcW w:w="1126" w:type="dxa"/>
            <w:noWrap w:val="0"/>
            <w:vAlign w:val="center"/>
          </w:tcPr>
          <w:p>
            <w:pPr>
              <w:jc w:val="center"/>
              <w:rPr>
                <w:rFonts w:eastAsia="宋体"/>
              </w:rPr>
            </w:pPr>
            <w:r>
              <w:rPr>
                <w:rFonts w:hint="eastAsia" w:eastAsia="宋体" w:cs="宋体"/>
              </w:rPr>
              <w:t>报废原因</w:t>
            </w:r>
          </w:p>
        </w:tc>
        <w:tc>
          <w:tcPr>
            <w:tcW w:w="8472" w:type="dxa"/>
            <w:gridSpan w:val="9"/>
            <w:noWrap w:val="0"/>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jc w:val="center"/>
        </w:trPr>
        <w:tc>
          <w:tcPr>
            <w:tcW w:w="1126" w:type="dxa"/>
            <w:noWrap w:val="0"/>
            <w:vAlign w:val="center"/>
          </w:tcPr>
          <w:p>
            <w:pPr>
              <w:jc w:val="center"/>
              <w:rPr>
                <w:rFonts w:hint="eastAsia" w:eastAsia="宋体"/>
              </w:rPr>
            </w:pPr>
            <w:r>
              <w:rPr>
                <w:rFonts w:hint="eastAsia" w:eastAsia="宋体" w:cs="宋体"/>
              </w:rPr>
              <w:t>学院</w:t>
            </w:r>
            <w:r>
              <w:rPr>
                <w:rFonts w:eastAsia="宋体"/>
              </w:rPr>
              <w:t>(</w:t>
            </w:r>
            <w:r>
              <w:rPr>
                <w:rFonts w:hint="eastAsia" w:eastAsia="宋体" w:cs="宋体"/>
              </w:rPr>
              <w:t>部</w:t>
            </w:r>
            <w:r>
              <w:rPr>
                <w:rFonts w:eastAsia="宋体"/>
              </w:rPr>
              <w:t>)</w:t>
            </w:r>
            <w:r>
              <w:rPr>
                <w:rFonts w:hint="eastAsia" w:eastAsia="宋体"/>
              </w:rPr>
              <w:t>及各部门</w:t>
            </w:r>
          </w:p>
          <w:p>
            <w:pPr>
              <w:jc w:val="center"/>
              <w:rPr>
                <w:rFonts w:eastAsia="宋体"/>
                <w:color w:val="FF0000"/>
              </w:rPr>
            </w:pPr>
            <w:r>
              <w:rPr>
                <w:rFonts w:hint="eastAsia" w:eastAsia="宋体" w:cs="宋体"/>
              </w:rPr>
              <w:t>意见</w:t>
            </w:r>
          </w:p>
        </w:tc>
        <w:tc>
          <w:tcPr>
            <w:tcW w:w="8472" w:type="dxa"/>
            <w:gridSpan w:val="9"/>
            <w:noWrap w:val="0"/>
            <w:vAlign w:val="center"/>
          </w:tcPr>
          <w:p>
            <w:pPr>
              <w:rPr>
                <w:rFonts w:eastAsia="宋体"/>
                <w:color w:val="FF0000"/>
              </w:rPr>
            </w:pPr>
          </w:p>
          <w:p>
            <w:pPr>
              <w:spacing w:line="360" w:lineRule="auto"/>
              <w:jc w:val="center"/>
              <w:rPr>
                <w:rFonts w:eastAsia="宋体"/>
              </w:rPr>
            </w:pPr>
            <w:r>
              <w:rPr>
                <w:rFonts w:eastAsia="宋体"/>
                <w:color w:val="FF0000"/>
              </w:rPr>
              <w:t xml:space="preserve">                                         </w:t>
            </w:r>
            <w:r>
              <w:rPr>
                <w:rFonts w:hint="eastAsia" w:eastAsia="宋体" w:cs="宋体"/>
              </w:rPr>
              <w:t>负责人（签字）</w:t>
            </w:r>
          </w:p>
          <w:p>
            <w:pPr>
              <w:jc w:val="center"/>
              <w:rPr>
                <w:rFonts w:eastAsia="宋体"/>
              </w:rPr>
            </w:pPr>
            <w:r>
              <w:rPr>
                <w:rFonts w:eastAsia="宋体"/>
              </w:rPr>
              <w:t xml:space="preserve">                                                    </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r>
              <w:rPr>
                <w:rFonts w:eastAsia="宋体"/>
              </w:rPr>
              <w:t xml:space="preserve">     </w:t>
            </w:r>
            <w:r>
              <w:rPr>
                <w:rFonts w:hint="eastAsia" w:eastAsia="宋体" w:cs="宋体"/>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126" w:type="dxa"/>
            <w:noWrap w:val="0"/>
            <w:vAlign w:val="center"/>
          </w:tcPr>
          <w:p>
            <w:pPr>
              <w:jc w:val="center"/>
              <w:rPr>
                <w:rFonts w:eastAsia="宋体"/>
              </w:rPr>
            </w:pPr>
            <w:r>
              <w:rPr>
                <w:rFonts w:hint="eastAsia" w:eastAsia="宋体" w:cs="宋体"/>
              </w:rPr>
              <w:t>鉴定小组意见</w:t>
            </w:r>
          </w:p>
        </w:tc>
        <w:tc>
          <w:tcPr>
            <w:tcW w:w="8472" w:type="dxa"/>
            <w:gridSpan w:val="9"/>
            <w:noWrap w:val="0"/>
            <w:vAlign w:val="center"/>
          </w:tcPr>
          <w:p>
            <w:pPr>
              <w:spacing w:line="360" w:lineRule="auto"/>
              <w:jc w:val="center"/>
              <w:rPr>
                <w:rFonts w:eastAsia="宋体"/>
              </w:rPr>
            </w:pPr>
            <w:r>
              <w:rPr>
                <w:rFonts w:eastAsia="宋体"/>
              </w:rPr>
              <w:t xml:space="preserve">                                        </w:t>
            </w:r>
            <w:r>
              <w:rPr>
                <w:rFonts w:hint="eastAsia" w:eastAsia="宋体" w:cs="宋体"/>
              </w:rPr>
              <w:t>专家组组长（签字）</w:t>
            </w:r>
          </w:p>
          <w:p>
            <w:pPr>
              <w:jc w:val="center"/>
              <w:rPr>
                <w:rFonts w:eastAsia="宋体"/>
              </w:rPr>
            </w:pPr>
            <w:r>
              <w:rPr>
                <w:rFonts w:eastAsia="宋体"/>
              </w:rPr>
              <w:t xml:space="preserve">                                                    </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r>
              <w:rPr>
                <w:rFonts w:eastAsia="宋体"/>
              </w:rPr>
              <w:t xml:space="preserve">     </w:t>
            </w:r>
            <w:r>
              <w:rPr>
                <w:rFonts w:hint="eastAsia" w:eastAsia="宋体" w:cs="宋体"/>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1126" w:type="dxa"/>
            <w:vMerge w:val="restart"/>
            <w:noWrap w:val="0"/>
            <w:vAlign w:val="center"/>
          </w:tcPr>
          <w:p>
            <w:pPr>
              <w:jc w:val="center"/>
              <w:rPr>
                <w:rFonts w:eastAsia="宋体"/>
              </w:rPr>
            </w:pPr>
            <w:r>
              <w:rPr>
                <w:rFonts w:hint="eastAsia" w:eastAsia="宋体" w:cs="宋体"/>
              </w:rPr>
              <w:t>鉴定专家</w:t>
            </w:r>
          </w:p>
          <w:p>
            <w:pPr>
              <w:jc w:val="center"/>
              <w:rPr>
                <w:rFonts w:eastAsia="宋体"/>
              </w:rPr>
            </w:pPr>
          </w:p>
        </w:tc>
        <w:tc>
          <w:tcPr>
            <w:tcW w:w="1559" w:type="dxa"/>
            <w:noWrap w:val="0"/>
            <w:vAlign w:val="center"/>
          </w:tcPr>
          <w:p>
            <w:pPr>
              <w:jc w:val="center"/>
              <w:rPr>
                <w:rFonts w:eastAsia="宋体"/>
              </w:rPr>
            </w:pPr>
            <w:r>
              <w:rPr>
                <w:rFonts w:hint="eastAsia" w:eastAsia="宋体" w:cs="宋体"/>
              </w:rPr>
              <w:t>姓名</w:t>
            </w:r>
          </w:p>
        </w:tc>
        <w:tc>
          <w:tcPr>
            <w:tcW w:w="1441" w:type="dxa"/>
            <w:gridSpan w:val="2"/>
            <w:noWrap w:val="0"/>
            <w:vAlign w:val="center"/>
          </w:tcPr>
          <w:p>
            <w:pPr>
              <w:jc w:val="center"/>
              <w:rPr>
                <w:rFonts w:eastAsia="宋体"/>
              </w:rPr>
            </w:pPr>
            <w:r>
              <w:rPr>
                <w:rFonts w:hint="eastAsia" w:eastAsia="宋体" w:cs="宋体"/>
              </w:rPr>
              <w:t>单位</w:t>
            </w:r>
          </w:p>
        </w:tc>
        <w:tc>
          <w:tcPr>
            <w:tcW w:w="1984" w:type="dxa"/>
            <w:gridSpan w:val="2"/>
            <w:noWrap w:val="0"/>
            <w:vAlign w:val="center"/>
          </w:tcPr>
          <w:p>
            <w:pPr>
              <w:jc w:val="center"/>
              <w:rPr>
                <w:rFonts w:eastAsia="宋体"/>
              </w:rPr>
            </w:pPr>
            <w:r>
              <w:rPr>
                <w:rFonts w:hint="eastAsia" w:eastAsia="宋体" w:cs="宋体"/>
              </w:rPr>
              <w:t>专业</w:t>
            </w:r>
          </w:p>
        </w:tc>
        <w:tc>
          <w:tcPr>
            <w:tcW w:w="1984" w:type="dxa"/>
            <w:gridSpan w:val="2"/>
            <w:noWrap w:val="0"/>
            <w:vAlign w:val="center"/>
          </w:tcPr>
          <w:p>
            <w:pPr>
              <w:jc w:val="center"/>
              <w:rPr>
                <w:rFonts w:eastAsia="宋体"/>
              </w:rPr>
            </w:pPr>
            <w:r>
              <w:rPr>
                <w:rFonts w:hint="eastAsia" w:eastAsia="宋体" w:cs="宋体"/>
              </w:rPr>
              <w:t>职称</w:t>
            </w:r>
            <w:r>
              <w:rPr>
                <w:rFonts w:eastAsia="宋体"/>
              </w:rPr>
              <w:t>/</w:t>
            </w:r>
            <w:r>
              <w:rPr>
                <w:rFonts w:hint="eastAsia" w:eastAsia="宋体" w:cs="宋体"/>
              </w:rPr>
              <w:t>职务</w:t>
            </w:r>
          </w:p>
        </w:tc>
        <w:tc>
          <w:tcPr>
            <w:tcW w:w="1504" w:type="dxa"/>
            <w:gridSpan w:val="2"/>
            <w:noWrap w:val="0"/>
            <w:vAlign w:val="center"/>
          </w:tcPr>
          <w:p>
            <w:pPr>
              <w:jc w:val="center"/>
              <w:rPr>
                <w:rFonts w:eastAsia="宋体"/>
              </w:rPr>
            </w:pPr>
            <w:r>
              <w:rPr>
                <w:rFonts w:hint="eastAsia" w:eastAsia="宋体" w:cs="宋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126" w:type="dxa"/>
            <w:vMerge w:val="continue"/>
            <w:noWrap w:val="0"/>
            <w:vAlign w:val="center"/>
          </w:tcPr>
          <w:p>
            <w:pPr>
              <w:jc w:val="center"/>
              <w:rPr>
                <w:rFonts w:eastAsia="宋体"/>
              </w:rPr>
            </w:pPr>
          </w:p>
        </w:tc>
        <w:tc>
          <w:tcPr>
            <w:tcW w:w="1559" w:type="dxa"/>
            <w:noWrap w:val="0"/>
            <w:vAlign w:val="center"/>
          </w:tcPr>
          <w:p>
            <w:pPr>
              <w:spacing w:line="400" w:lineRule="exact"/>
              <w:jc w:val="center"/>
              <w:rPr>
                <w:rFonts w:eastAsia="宋体"/>
              </w:rPr>
            </w:pPr>
          </w:p>
        </w:tc>
        <w:tc>
          <w:tcPr>
            <w:tcW w:w="1441"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504" w:type="dxa"/>
            <w:gridSpan w:val="2"/>
            <w:noWrap w:val="0"/>
            <w:vAlign w:val="center"/>
          </w:tcPr>
          <w:p>
            <w:pPr>
              <w:spacing w:line="40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126" w:type="dxa"/>
            <w:vMerge w:val="continue"/>
            <w:noWrap w:val="0"/>
            <w:vAlign w:val="center"/>
          </w:tcPr>
          <w:p>
            <w:pPr>
              <w:jc w:val="center"/>
              <w:rPr>
                <w:rFonts w:eastAsia="宋体"/>
              </w:rPr>
            </w:pPr>
          </w:p>
        </w:tc>
        <w:tc>
          <w:tcPr>
            <w:tcW w:w="1559" w:type="dxa"/>
            <w:noWrap w:val="0"/>
            <w:vAlign w:val="center"/>
          </w:tcPr>
          <w:p>
            <w:pPr>
              <w:spacing w:line="400" w:lineRule="exact"/>
              <w:jc w:val="center"/>
              <w:rPr>
                <w:rFonts w:eastAsia="宋体"/>
              </w:rPr>
            </w:pPr>
          </w:p>
        </w:tc>
        <w:tc>
          <w:tcPr>
            <w:tcW w:w="1441"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504" w:type="dxa"/>
            <w:gridSpan w:val="2"/>
            <w:noWrap w:val="0"/>
            <w:vAlign w:val="center"/>
          </w:tcPr>
          <w:p>
            <w:pPr>
              <w:spacing w:line="40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1126" w:type="dxa"/>
            <w:vMerge w:val="continue"/>
            <w:noWrap w:val="0"/>
            <w:vAlign w:val="center"/>
          </w:tcPr>
          <w:p>
            <w:pPr>
              <w:jc w:val="center"/>
              <w:rPr>
                <w:rFonts w:eastAsia="宋体"/>
              </w:rPr>
            </w:pPr>
          </w:p>
        </w:tc>
        <w:tc>
          <w:tcPr>
            <w:tcW w:w="1559" w:type="dxa"/>
            <w:noWrap w:val="0"/>
            <w:vAlign w:val="center"/>
          </w:tcPr>
          <w:p>
            <w:pPr>
              <w:spacing w:line="400" w:lineRule="exact"/>
              <w:jc w:val="center"/>
              <w:rPr>
                <w:rFonts w:eastAsia="宋体"/>
              </w:rPr>
            </w:pPr>
          </w:p>
        </w:tc>
        <w:tc>
          <w:tcPr>
            <w:tcW w:w="1441"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504" w:type="dxa"/>
            <w:gridSpan w:val="2"/>
            <w:noWrap w:val="0"/>
            <w:vAlign w:val="center"/>
          </w:tcPr>
          <w:p>
            <w:pPr>
              <w:spacing w:line="40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126" w:type="dxa"/>
            <w:vMerge w:val="continue"/>
            <w:noWrap w:val="0"/>
            <w:vAlign w:val="center"/>
          </w:tcPr>
          <w:p>
            <w:pPr>
              <w:jc w:val="center"/>
              <w:rPr>
                <w:rFonts w:eastAsia="宋体"/>
              </w:rPr>
            </w:pPr>
          </w:p>
        </w:tc>
        <w:tc>
          <w:tcPr>
            <w:tcW w:w="1559" w:type="dxa"/>
            <w:noWrap w:val="0"/>
            <w:vAlign w:val="center"/>
          </w:tcPr>
          <w:p>
            <w:pPr>
              <w:spacing w:line="400" w:lineRule="exact"/>
              <w:jc w:val="center"/>
              <w:rPr>
                <w:rFonts w:eastAsia="宋体"/>
              </w:rPr>
            </w:pPr>
          </w:p>
        </w:tc>
        <w:tc>
          <w:tcPr>
            <w:tcW w:w="1441"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504" w:type="dxa"/>
            <w:gridSpan w:val="2"/>
            <w:noWrap w:val="0"/>
            <w:vAlign w:val="center"/>
          </w:tcPr>
          <w:p>
            <w:pPr>
              <w:spacing w:line="40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126" w:type="dxa"/>
            <w:vMerge w:val="continue"/>
            <w:noWrap w:val="0"/>
            <w:vAlign w:val="center"/>
          </w:tcPr>
          <w:p>
            <w:pPr>
              <w:jc w:val="center"/>
              <w:rPr>
                <w:rFonts w:eastAsia="宋体"/>
              </w:rPr>
            </w:pPr>
          </w:p>
        </w:tc>
        <w:tc>
          <w:tcPr>
            <w:tcW w:w="1559" w:type="dxa"/>
            <w:noWrap w:val="0"/>
            <w:vAlign w:val="center"/>
          </w:tcPr>
          <w:p>
            <w:pPr>
              <w:spacing w:line="400" w:lineRule="exact"/>
              <w:jc w:val="center"/>
              <w:rPr>
                <w:rFonts w:eastAsia="宋体"/>
              </w:rPr>
            </w:pPr>
          </w:p>
        </w:tc>
        <w:tc>
          <w:tcPr>
            <w:tcW w:w="1441"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984" w:type="dxa"/>
            <w:gridSpan w:val="2"/>
            <w:noWrap w:val="0"/>
            <w:vAlign w:val="center"/>
          </w:tcPr>
          <w:p>
            <w:pPr>
              <w:spacing w:line="400" w:lineRule="exact"/>
              <w:jc w:val="center"/>
              <w:rPr>
                <w:rFonts w:eastAsia="宋体"/>
              </w:rPr>
            </w:pPr>
          </w:p>
        </w:tc>
        <w:tc>
          <w:tcPr>
            <w:tcW w:w="1504" w:type="dxa"/>
            <w:gridSpan w:val="2"/>
            <w:noWrap w:val="0"/>
            <w:vAlign w:val="center"/>
          </w:tcPr>
          <w:p>
            <w:pPr>
              <w:spacing w:line="400" w:lineRule="exact"/>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126" w:type="dxa"/>
            <w:noWrap w:val="0"/>
            <w:vAlign w:val="center"/>
          </w:tcPr>
          <w:p>
            <w:pPr>
              <w:jc w:val="center"/>
              <w:rPr>
                <w:rFonts w:eastAsia="宋体"/>
              </w:rPr>
            </w:pPr>
            <w:r>
              <w:rPr>
                <w:rFonts w:hint="eastAsia" w:eastAsia="宋体" w:cs="宋体"/>
              </w:rPr>
              <w:t>国有资产管理处意见</w:t>
            </w:r>
          </w:p>
        </w:tc>
        <w:tc>
          <w:tcPr>
            <w:tcW w:w="8472" w:type="dxa"/>
            <w:gridSpan w:val="9"/>
            <w:noWrap w:val="0"/>
            <w:vAlign w:val="center"/>
          </w:tcPr>
          <w:p>
            <w:pPr>
              <w:spacing w:line="360" w:lineRule="auto"/>
              <w:rPr>
                <w:rFonts w:eastAsia="宋体"/>
              </w:rPr>
            </w:pPr>
          </w:p>
          <w:p>
            <w:pPr>
              <w:spacing w:line="360" w:lineRule="auto"/>
              <w:jc w:val="center"/>
              <w:rPr>
                <w:rFonts w:eastAsia="宋体"/>
              </w:rPr>
            </w:pPr>
            <w:r>
              <w:rPr>
                <w:rFonts w:eastAsia="宋体"/>
              </w:rPr>
              <w:t xml:space="preserve">                               </w:t>
            </w:r>
            <w:r>
              <w:rPr>
                <w:rFonts w:hint="eastAsia" w:eastAsia="宋体" w:cs="宋体"/>
              </w:rPr>
              <w:t>负责人（签字）</w:t>
            </w:r>
          </w:p>
          <w:p>
            <w:pPr>
              <w:spacing w:line="400" w:lineRule="exact"/>
              <w:jc w:val="center"/>
              <w:rPr>
                <w:rFonts w:eastAsia="宋体"/>
              </w:rPr>
            </w:pPr>
            <w:r>
              <w:rPr>
                <w:rFonts w:eastAsia="宋体"/>
              </w:rPr>
              <w:t xml:space="preserve">                                                    </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r>
              <w:rPr>
                <w:rFonts w:eastAsia="宋体"/>
              </w:rPr>
              <w:t xml:space="preserve">     </w:t>
            </w:r>
            <w:r>
              <w:rPr>
                <w:rFonts w:hint="eastAsia" w:eastAsia="宋体" w:cs="宋体"/>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5" w:hRule="atLeast"/>
          <w:jc w:val="center"/>
        </w:trPr>
        <w:tc>
          <w:tcPr>
            <w:tcW w:w="1126" w:type="dxa"/>
            <w:noWrap w:val="0"/>
            <w:vAlign w:val="center"/>
          </w:tcPr>
          <w:p>
            <w:pPr>
              <w:jc w:val="center"/>
              <w:rPr>
                <w:rFonts w:eastAsia="宋体"/>
              </w:rPr>
            </w:pPr>
            <w:r>
              <w:rPr>
                <w:rFonts w:hint="eastAsia" w:eastAsia="宋体" w:cs="宋体"/>
              </w:rPr>
              <w:t>学校意见</w:t>
            </w:r>
          </w:p>
        </w:tc>
        <w:tc>
          <w:tcPr>
            <w:tcW w:w="8472" w:type="dxa"/>
            <w:gridSpan w:val="9"/>
            <w:noWrap w:val="0"/>
            <w:vAlign w:val="center"/>
          </w:tcPr>
          <w:p>
            <w:pPr>
              <w:spacing w:line="400" w:lineRule="exact"/>
              <w:jc w:val="center"/>
              <w:rPr>
                <w:rFonts w:eastAsia="宋体"/>
              </w:rPr>
            </w:pPr>
            <w:r>
              <w:rPr>
                <w:rFonts w:eastAsia="宋体"/>
              </w:rPr>
              <w:t xml:space="preserve">                          </w:t>
            </w:r>
          </w:p>
          <w:p>
            <w:pPr>
              <w:spacing w:line="400" w:lineRule="exact"/>
              <w:jc w:val="center"/>
              <w:rPr>
                <w:rFonts w:eastAsia="宋体"/>
              </w:rPr>
            </w:pPr>
            <w:r>
              <w:rPr>
                <w:rFonts w:eastAsia="宋体"/>
              </w:rPr>
              <w:t xml:space="preserve">                             </w:t>
            </w:r>
            <w:r>
              <w:rPr>
                <w:rFonts w:hint="eastAsia" w:eastAsia="宋体" w:cs="宋体"/>
              </w:rPr>
              <w:t>负责人（签字）</w:t>
            </w:r>
          </w:p>
          <w:p>
            <w:pPr>
              <w:spacing w:line="400" w:lineRule="exact"/>
              <w:jc w:val="center"/>
              <w:rPr>
                <w:rFonts w:eastAsia="宋体"/>
              </w:rPr>
            </w:pPr>
            <w:r>
              <w:rPr>
                <w:rFonts w:eastAsia="宋体"/>
              </w:rPr>
              <w:t xml:space="preserve">                                                </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r>
              <w:rPr>
                <w:rFonts w:eastAsia="宋体"/>
              </w:rPr>
              <w:t xml:space="preserve">     </w:t>
            </w:r>
            <w:r>
              <w:rPr>
                <w:rFonts w:hint="eastAsia" w:eastAsia="宋体" w:cs="宋体"/>
              </w:rPr>
              <w:t>（盖章）</w:t>
            </w:r>
          </w:p>
        </w:tc>
      </w:tr>
    </w:tbl>
    <w:p>
      <w:pPr>
        <w:ind w:left="400" w:hanging="400" w:hangingChars="200"/>
        <w:rPr>
          <w:rFonts w:hint="eastAsia" w:ascii="仿宋" w:hAnsi="仿宋" w:eastAsia="仿宋" w:cs="仿宋"/>
          <w:sz w:val="30"/>
          <w:szCs w:val="30"/>
        </w:rPr>
      </w:pPr>
      <w:r>
        <w:rPr>
          <w:rFonts w:hint="eastAsia" w:cs="宋体"/>
          <w:sz w:val="20"/>
          <w:szCs w:val="20"/>
        </w:rPr>
        <w:t>注：</w:t>
      </w:r>
      <w:r>
        <w:rPr>
          <w:rFonts w:hint="eastAsia" w:cs="宋体"/>
        </w:rPr>
        <w:t>由使用单位组织专业鉴定（行业鉴定、生产厂家鉴定或校内鉴定），鉴定专家组不少于</w:t>
      </w:r>
      <w:r>
        <w:t>3</w:t>
      </w:r>
      <w:r>
        <w:rPr>
          <w:rFonts w:hint="eastAsia" w:cs="宋体"/>
        </w:rPr>
        <w:t>人。专家组成员须具备相关专业副教授以上职称或相应的专业技术职业资格；每台设备填一份鉴定表；此表一式</w:t>
      </w:r>
      <w:r>
        <w:t>3</w:t>
      </w:r>
      <w:r>
        <w:rPr>
          <w:rFonts w:hint="eastAsia" w:cs="宋体"/>
        </w:rPr>
        <w:t>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28882"/>
    <w:multiLevelType w:val="singleLevel"/>
    <w:tmpl w:val="9E4288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07C22"/>
    <w:rsid w:val="56B0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2020-12-07T00:46:00Z</dcterms:created>
  <dc:creator>Administrator</dc:creator>
  <cp:lastModifiedBy>Administrator</cp:lastModifiedBy>
  <dcterms:modified xsi:type="dcterms:W3CDTF">2020-12-07T00:46:15Z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