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line="360" w:lineRule="auto"/>
        <w:ind w:right="0"/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 w:bidi="ar-SA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 w:bidi="ar-SA"/>
        </w:rPr>
        <w:t>信息化设备维修管理办法</w:t>
      </w:r>
    </w:p>
    <w:p>
      <w:pPr>
        <w:spacing w:line="400" w:lineRule="exact"/>
        <w:ind w:firstLine="560" w:firstLineChars="200"/>
        <w:jc w:val="center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为做好信息化设备的维修管理工作，确保我校教学、科研工作的正常开展，根据有关文件规定，结合我校实际情况，特制定本办法。</w:t>
      </w:r>
    </w:p>
    <w:p>
      <w:pPr>
        <w:spacing w:line="500" w:lineRule="exact"/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一、信息化设备维修</w:t>
      </w:r>
      <w:r>
        <w:rPr>
          <w:rFonts w:hint="eastAsia" w:ascii="黑体" w:hAnsi="黑体" w:eastAsia="黑体" w:cs="黑体"/>
          <w:sz w:val="28"/>
          <w:szCs w:val="28"/>
          <w:lang w:val="en-US"/>
        </w:rPr>
        <w:t>范围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信息化设备维修是指所有在学校范围内（不包括二级学院机房）的电教设备、网络设备、办公设备等维修。具体分类为：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（一）电教设备是指用于学校教学和科研的信息化设备。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（二）网络设备是指用于校园网络运行的综合布线、交换机、服务器等。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（三）办公设备是指用于学校行政机关办公的电脑。</w:t>
      </w:r>
    </w:p>
    <w:p>
      <w:pPr>
        <w:spacing w:line="500" w:lineRule="exact"/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二、维修项目的审批与实施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（一）信息化设备的维修经费由信息中心统一管理，各维修项目需事先办理申报手续，否则维修产生的费用自行负责。 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（二）按照“谁使用谁管理”的原则，维修项目由使用部门负责申报，所有维修通过报修平台报修。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1.预算费用在1000元以下的，由使用部门会同信息中心一起实施。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2.预算费用在1000元以上3000元以下的，经部门负责人初审，由信息中心负责审批后实施；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3.预算费用在3000元以上（含3000元）的，经部门负责人和信息中心初审，报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信息中心</w:t>
      </w:r>
      <w:r>
        <w:rPr>
          <w:rFonts w:hint="eastAsia" w:ascii="仿宋_GB2312" w:hAnsi="仿宋_GB2312" w:eastAsia="仿宋_GB2312" w:cs="仿宋_GB2312"/>
          <w:sz w:val="28"/>
          <w:szCs w:val="28"/>
        </w:rPr>
        <w:t>分管领导审批后实施。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4.预算费用在1000元以下的，通过报修平台报修即可；预算费用在1000元以上的，使用部门还需填写《台州科技职业学院信息化设备维修单》，经使用部门负责人审核同意后报送信息中心。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5.对已经批准维修的信息化设备，由信息中心或使用部门联系相关厂家单位安排维修人员进行维修，维修过程中应查明损坏原因，确定维修经费。使用部门应派人协助配合。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6.信息化设备在保修期内出现故障的，使用部门可直接或通过信息中心联系生产厂家、供货商，及时办理保修或退换。</w:t>
      </w:r>
    </w:p>
    <w:p>
      <w:pPr>
        <w:spacing w:line="500" w:lineRule="exact"/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三、本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办法</w:t>
      </w:r>
      <w:r>
        <w:rPr>
          <w:rFonts w:hint="eastAsia" w:ascii="黑体" w:hAnsi="黑体" w:eastAsia="黑体" w:cs="黑体"/>
          <w:sz w:val="28"/>
          <w:szCs w:val="28"/>
        </w:rPr>
        <w:t>自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发布之日</w:t>
      </w:r>
      <w:r>
        <w:rPr>
          <w:rFonts w:hint="eastAsia" w:ascii="黑体" w:hAnsi="黑体" w:eastAsia="黑体" w:cs="黑体"/>
          <w:sz w:val="28"/>
          <w:szCs w:val="28"/>
        </w:rPr>
        <w:t>起施行，由信息中心负责解释。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附件：台州科技职业学院信息化设备维修单</w:t>
      </w:r>
    </w:p>
    <w:p>
      <w:pPr>
        <w:widowControl/>
        <w:ind w:firstLine="560" w:firstLineChars="200"/>
        <w:jc w:val="right"/>
        <w:rPr>
          <w:rFonts w:ascii="仿宋_GB2312" w:hAnsi="仿宋_GB2312" w:eastAsia="仿宋_GB2312" w:cs="仿宋_GB2312"/>
          <w:color w:val="000000"/>
          <w:sz w:val="28"/>
          <w:szCs w:val="28"/>
        </w:rPr>
      </w:pPr>
    </w:p>
    <w:p>
      <w:pPr>
        <w:widowControl/>
        <w:autoSpaceDE/>
        <w:autoSpaceDN/>
        <w:rPr>
          <w:rFonts w:ascii="黑体" w:hAnsi="黑体" w:eastAsia="黑体" w:cs="黑体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br w:type="page"/>
      </w:r>
      <w:r>
        <w:rPr>
          <w:rFonts w:hint="eastAsia" w:ascii="黑体" w:hAnsi="黑体" w:eastAsia="黑体" w:cs="黑体"/>
          <w:sz w:val="28"/>
          <w:szCs w:val="28"/>
        </w:rPr>
        <w:t>附件</w:t>
      </w:r>
    </w:p>
    <w:p>
      <w:pPr>
        <w:spacing w:after="120" w:afterLines="50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台州科技职业学院信息化设备维修单</w:t>
      </w:r>
    </w:p>
    <w:p>
      <w:pPr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申报部门：            </w:t>
      </w:r>
      <w:r>
        <w:rPr>
          <w:rFonts w:hint="eastAsia" w:ascii="仿宋_GB2312" w:hAnsi="仿宋_GB2312" w:eastAsia="仿宋_GB2312" w:cs="仿宋_GB2312"/>
          <w:sz w:val="24"/>
          <w:lang w:val="en-US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 xml:space="preserve">                       申报时间：    年  月   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080"/>
        <w:gridCol w:w="718"/>
        <w:gridCol w:w="1260"/>
        <w:gridCol w:w="177"/>
        <w:gridCol w:w="1445"/>
        <w:gridCol w:w="178"/>
        <w:gridCol w:w="900"/>
        <w:gridCol w:w="2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申报人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所属部门</w:t>
            </w:r>
          </w:p>
        </w:tc>
        <w:tc>
          <w:tcPr>
            <w:tcW w:w="18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报修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地点</w:t>
            </w:r>
          </w:p>
        </w:tc>
        <w:tc>
          <w:tcPr>
            <w:tcW w:w="20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维修内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容描述</w:t>
            </w:r>
          </w:p>
        </w:tc>
        <w:tc>
          <w:tcPr>
            <w:tcW w:w="78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部门负责人意见</w:t>
            </w:r>
          </w:p>
        </w:tc>
        <w:tc>
          <w:tcPr>
            <w:tcW w:w="78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</w:trPr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维修预算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（经办人填写，清单可另附页）</w:t>
            </w:r>
          </w:p>
        </w:tc>
        <w:tc>
          <w:tcPr>
            <w:tcW w:w="78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（如维修时更换材料，需写明所使用材料名称、规格型号、数量、单价、总价、工时等）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firstLine="5400" w:firstLineChars="225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经办人</w:t>
            </w:r>
          </w:p>
        </w:tc>
        <w:tc>
          <w:tcPr>
            <w:tcW w:w="2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信息中心经办人审核</w:t>
            </w:r>
          </w:p>
        </w:tc>
        <w:tc>
          <w:tcPr>
            <w:tcW w:w="3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信息中心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78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分管校领导意见</w:t>
            </w:r>
          </w:p>
        </w:tc>
        <w:tc>
          <w:tcPr>
            <w:tcW w:w="78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信息中心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备案</w:t>
            </w:r>
          </w:p>
        </w:tc>
        <w:tc>
          <w:tcPr>
            <w:tcW w:w="78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备案号：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萍方0">
    <w:panose1 w:val="020B0300000000000000"/>
    <w:charset w:val="86"/>
    <w:family w:val="auto"/>
    <w:pitch w:val="default"/>
    <w:sig w:usb0="A00002FF" w:usb1="7ACFFCFB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F245E"/>
    <w:rsid w:val="145F245E"/>
    <w:rsid w:val="3C3B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3">
    <w:name w:val="heading 2"/>
    <w:basedOn w:val="1"/>
    <w:next w:val="1"/>
    <w:qFormat/>
    <w:uiPriority w:val="9"/>
    <w:pPr>
      <w:spacing w:before="48"/>
      <w:ind w:right="129"/>
      <w:jc w:val="center"/>
      <w:outlineLvl w:val="1"/>
    </w:pPr>
    <w:rPr>
      <w:rFonts w:ascii="黑体" w:hAnsi="黑体" w:eastAsia="黑体" w:cs="黑体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0"/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2021-05-13T01:35:00Z</dcterms:created>
  <dc:creator>zhong</dc:creator>
  <cp:lastModifiedBy>zhong</cp:lastModifiedBy>
  <dcterms:modified xsi:type="dcterms:W3CDTF">2021-05-13T01:35:33Z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AAAC7B7BB2AD4F7982D424711BB0CC63</vt:lpwstr>
  </property>
</Properties>
</file>