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hint="eastAsia" w:ascii="宋体" w:hAnsi="宋体" w:cs="宋体"/>
          <w:color w:val="333333"/>
          <w:kern w:val="0"/>
          <w:sz w:val="24"/>
        </w:rPr>
      </w:pPr>
      <w:r>
        <w:rPr>
          <w:rFonts w:hint="eastAsia" w:ascii="宋体" w:hAnsi="宋体" w:cs="宋体"/>
          <w:b/>
          <w:color w:val="333333"/>
          <w:kern w:val="0"/>
          <w:sz w:val="32"/>
          <w:szCs w:val="32"/>
        </w:rPr>
        <w:t>教育部关于印发《普通高等学校基本办学条件指标（试行）》的通知</w:t>
      </w:r>
    </w:p>
    <w:p>
      <w:pPr>
        <w:widowControl/>
        <w:wordWrap w:val="0"/>
        <w:spacing w:line="480" w:lineRule="auto"/>
        <w:jc w:val="center"/>
        <w:rPr>
          <w:rFonts w:ascii="ˎ̥" w:hAnsi="ˎ̥" w:cs="宋体"/>
          <w:color w:val="333333"/>
          <w:kern w:val="0"/>
          <w:sz w:val="24"/>
        </w:rPr>
      </w:pPr>
      <w:r>
        <w:rPr>
          <w:rFonts w:hint="eastAsia" w:ascii="ˎ̥" w:hAnsi="ˎ̥" w:cs="宋体"/>
          <w:color w:val="333333"/>
          <w:kern w:val="0"/>
          <w:sz w:val="24"/>
        </w:rPr>
        <w:t>教发〔</w:t>
      </w:r>
      <w:r>
        <w:rPr>
          <w:color w:val="333333"/>
          <w:kern w:val="0"/>
          <w:sz w:val="24"/>
        </w:rPr>
        <w:t>2004</w:t>
      </w:r>
      <w:r>
        <w:rPr>
          <w:rFonts w:hint="eastAsia" w:ascii="ˎ̥" w:hAnsi="ˎ̥" w:cs="宋体"/>
          <w:color w:val="333333"/>
          <w:kern w:val="0"/>
          <w:sz w:val="24"/>
        </w:rPr>
        <w:t>〕</w:t>
      </w:r>
      <w:r>
        <w:rPr>
          <w:color w:val="333333"/>
          <w:kern w:val="0"/>
          <w:sz w:val="24"/>
        </w:rPr>
        <w:t>2</w:t>
      </w:r>
      <w:r>
        <w:rPr>
          <w:rFonts w:hint="eastAsia" w:ascii="ˎ̥" w:hAnsi="ˎ̥" w:cs="宋体"/>
          <w:color w:val="333333"/>
          <w:kern w:val="0"/>
          <w:sz w:val="24"/>
        </w:rPr>
        <w:t>号</w:t>
      </w:r>
    </w:p>
    <w:p>
      <w:pPr>
        <w:widowControl/>
        <w:wordWrap w:val="0"/>
        <w:spacing w:line="480" w:lineRule="auto"/>
        <w:jc w:val="left"/>
        <w:rPr>
          <w:rFonts w:ascii="宋体" w:hAnsi="宋体" w:cs="宋体"/>
          <w:color w:val="333333"/>
          <w:kern w:val="0"/>
          <w:sz w:val="24"/>
        </w:rPr>
      </w:pPr>
      <w:r>
        <w:rPr>
          <w:rFonts w:hint="eastAsia" w:ascii="宋体" w:hAnsi="宋体" w:cs="宋体"/>
          <w:color w:val="333333"/>
          <w:kern w:val="0"/>
          <w:sz w:val="24"/>
        </w:rPr>
        <w:t>　　随着我国高等教育的发展和各项改革的推进，原国家教委1996年发布实施的《核定普通高等学校招生规模办学条件标准》和《“红”、“黄”牌高等学校办学条件标准》（教计[1996]154号）已不再适应当前普通高等学校发展的需要。为此，在委托有关部门进行专题研究、充分征求有关教育管理部门和部分高等学校意见的基础上，对上述标准进行了重新修订，现将修订后的《普通高等学校基本办学条件指标（试行）》（以下简称《基本办学条件指标》）印发给你们，请遵照执行，并就执行过程中应注意的有关事项通知如下：</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一、《基本办学条件指标》主要用于普通高等学校核定年度招生规模，确定限制、停止招生普通高等学校，并对普通高等学校办学条件进行监测。《基本办学条件指标》的发布实施，有利于加强宏观管理，逐步建立、健全社会监督机制，有利于促进办学条件改善和保证我国高等教育持续、健康发展。</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二、各地、各部门和各普通高等学校要根据经济社会发展需要、国家核定的办学规模以及本《基本办学条件指标》的要求，合理确定普通高等学校的招生规模，以维护正常的教学、生活秩序，保证普通高等教育基本的教学质量和规格。</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三、根据指标的用途及其重要性，新修订的《基本办学条件指标》由以下两部分组成：</w:t>
      </w:r>
    </w:p>
    <w:p>
      <w:pPr>
        <w:widowControl/>
        <w:wordWrap w:val="0"/>
        <w:spacing w:line="48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333333"/>
          <w:kern w:val="0"/>
          <w:sz w:val="24"/>
        </w:rPr>
        <w:t>　</w:t>
      </w:r>
      <w:r>
        <w:rPr>
          <w:rFonts w:hint="eastAsia" w:ascii="宋体" w:hAnsi="宋体" w:cs="宋体"/>
          <w:color w:val="000000" w:themeColor="text1"/>
          <w:kern w:val="0"/>
          <w:sz w:val="24"/>
          <w14:textFill>
            <w14:solidFill>
              <w14:schemeClr w14:val="tx1"/>
            </w14:solidFill>
          </w14:textFill>
        </w:rPr>
        <w:t>　1．</w:t>
      </w:r>
      <w:r>
        <w:rPr>
          <w:rFonts w:hint="eastAsia" w:ascii="宋体" w:hAnsi="宋体" w:cs="宋体"/>
          <w:b/>
          <w:color w:val="000000" w:themeColor="text1"/>
          <w:kern w:val="0"/>
          <w:sz w:val="24"/>
          <w14:textFill>
            <w14:solidFill>
              <w14:schemeClr w14:val="tx1"/>
            </w14:solidFill>
          </w14:textFill>
        </w:rPr>
        <w:t>基本办学条件指标</w:t>
      </w:r>
      <w:r>
        <w:rPr>
          <w:rFonts w:hint="eastAsia" w:ascii="宋体" w:hAnsi="宋体" w:cs="宋体"/>
          <w:color w:val="000000" w:themeColor="text1"/>
          <w:kern w:val="0"/>
          <w:sz w:val="24"/>
          <w14:textFill>
            <w14:solidFill>
              <w14:schemeClr w14:val="tx1"/>
            </w14:solidFill>
          </w14:textFill>
        </w:rPr>
        <w:t>：包括生师比、具有研究生学位教师占专任教师的比例、生均教学行政用房、生均教学科研仪器设备值、生均图书。这些指标是衡量普通高等学校基本办学条件和核定年度招生规模的重要依据。</w:t>
      </w:r>
      <w:bookmarkStart w:id="0" w:name="_GoBack"/>
      <w:bookmarkEnd w:id="0"/>
    </w:p>
    <w:p>
      <w:pPr>
        <w:widowControl/>
        <w:wordWrap w:val="0"/>
        <w:spacing w:line="480" w:lineRule="auto"/>
        <w:jc w:val="left"/>
        <w:rPr>
          <w:rFonts w:hint="eastAsia" w:ascii="宋体" w:hAnsi="宋体" w:cs="宋体"/>
          <w:color w:val="333333"/>
          <w:kern w:val="0"/>
          <w:sz w:val="24"/>
        </w:rPr>
      </w:pPr>
      <w:r>
        <w:rPr>
          <w:rFonts w:hint="eastAsia" w:ascii="宋体" w:hAnsi="宋体" w:cs="宋体"/>
          <w:color w:val="000000" w:themeColor="text1"/>
          <w:kern w:val="0"/>
          <w:sz w:val="24"/>
          <w14:textFill>
            <w14:solidFill>
              <w14:schemeClr w14:val="tx1"/>
            </w14:solidFill>
          </w14:textFill>
        </w:rPr>
        <w:t>　　2．</w:t>
      </w:r>
      <w:r>
        <w:rPr>
          <w:rFonts w:hint="eastAsia" w:ascii="宋体" w:hAnsi="宋体" w:cs="宋体"/>
          <w:b/>
          <w:color w:val="000000" w:themeColor="text1"/>
          <w:kern w:val="0"/>
          <w:sz w:val="24"/>
          <w14:textFill>
            <w14:solidFill>
              <w14:schemeClr w14:val="tx1"/>
            </w14:solidFill>
          </w14:textFill>
        </w:rPr>
        <w:t>监测办学条件指标</w:t>
      </w:r>
      <w:r>
        <w:rPr>
          <w:rFonts w:hint="eastAsia" w:ascii="宋体" w:hAnsi="宋体" w:cs="宋体"/>
          <w:color w:val="000000" w:themeColor="text1"/>
          <w:kern w:val="0"/>
          <w:sz w:val="24"/>
          <w14:textFill>
            <w14:solidFill>
              <w14:schemeClr w14:val="tx1"/>
            </w14:solidFill>
          </w14:textFill>
        </w:rPr>
        <w:t>：包括具有高级职务教师占专任教师的比例、生均占地面积、生均宿舍面积、百名学生配教学用计算机台数、百名学生配多媒体教室和语音实验室座位数、新增教学科研仪器设备所占比例、生均年进书量。这些</w:t>
      </w:r>
      <w:r>
        <w:rPr>
          <w:rFonts w:hint="eastAsia" w:ascii="宋体" w:hAnsi="宋体" w:cs="宋体"/>
          <w:color w:val="333333"/>
          <w:kern w:val="0"/>
          <w:sz w:val="24"/>
        </w:rPr>
        <w:t>指标是基本办学条件指标的补充，为全面分析普通高等学校办学条件和引进社会监督机制提供依据。同时这些指标还可反映普通高等学校基本办学条件的改善、更新情况，对提高教学质量和高等学校信息化程度等具有积极的指导作用。</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四、限制招生、暂停招生普通高等学校的确定：</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1．凡有一项基本办学条件指标低于限制招生规定要求的学校即给予限制招生（黄牌）的警示，以维持基本办学条件不再下滑，并促进其尽快改善办学条件。限制招生的学校其招生规模不得超过当年毕业生数。</w:t>
      </w:r>
    </w:p>
    <w:p>
      <w:pPr>
        <w:widowControl/>
        <w:wordWrap w:val="0"/>
        <w:spacing w:line="480" w:lineRule="auto"/>
        <w:jc w:val="left"/>
        <w:rPr>
          <w:rFonts w:hint="eastAsia" w:ascii="宋体" w:hAnsi="宋体" w:cs="宋体"/>
          <w:color w:val="333333"/>
          <w:kern w:val="0"/>
          <w:sz w:val="24"/>
        </w:rPr>
      </w:pPr>
      <w:r>
        <w:rPr>
          <w:rFonts w:hint="eastAsia" w:ascii="宋体" w:hAnsi="宋体" w:cs="宋体"/>
          <w:color w:val="333333"/>
          <w:kern w:val="0"/>
          <w:sz w:val="24"/>
        </w:rPr>
        <w:t>　　2．凡有两项或两项以上基本办学条件指标低于限制招生规定要求，或连续三年被确定为黄牌的学校即为暂停招生（红牌）学校。暂停招生学校当年不得安排普通高等学历教育招生计划。</w:t>
      </w:r>
    </w:p>
    <w:p>
      <w:pPr>
        <w:widowControl/>
        <w:wordWrap w:val="0"/>
        <w:spacing w:line="480" w:lineRule="auto"/>
        <w:ind w:firstLine="420"/>
        <w:jc w:val="left"/>
        <w:rPr>
          <w:rFonts w:hint="eastAsia" w:ascii="宋体" w:hAnsi="宋体" w:cs="宋体"/>
          <w:color w:val="333333"/>
          <w:kern w:val="0"/>
          <w:sz w:val="24"/>
        </w:rPr>
      </w:pPr>
      <w:r>
        <w:rPr>
          <w:rFonts w:hint="eastAsia" w:ascii="宋体" w:hAnsi="宋体" w:cs="宋体"/>
          <w:color w:val="333333"/>
          <w:kern w:val="0"/>
          <w:sz w:val="24"/>
        </w:rPr>
        <w:t>五、请各地、各部门将本通知及《基本办学条件指标》尽快转发至所属普通高等学校。原《核定普通高等学校招生规模办学条件标准》和《“红”、“黄”牌高等学校办学条件标准》从本通知发布之日起停止执行。</w:t>
      </w:r>
    </w:p>
    <w:p>
      <w:pPr>
        <w:rPr>
          <w:rFonts w:hint="eastAsia"/>
        </w:rPr>
      </w:pPr>
    </w:p>
    <w:p>
      <w:pPr>
        <w:widowControl/>
        <w:spacing w:line="360" w:lineRule="auto"/>
        <w:jc w:val="center"/>
        <w:rPr>
          <w:rFonts w:hint="eastAsia" w:ascii="宋体" w:hAnsi="宋体" w:cs="宋体"/>
          <w:kern w:val="0"/>
          <w:sz w:val="30"/>
          <w:szCs w:val="30"/>
        </w:rPr>
      </w:pPr>
      <w:r>
        <w:rPr>
          <w:rFonts w:ascii="宋体" w:hAnsi="宋体" w:cs="宋体"/>
          <w:b/>
          <w:bCs/>
          <w:kern w:val="0"/>
          <w:sz w:val="30"/>
          <w:szCs w:val="30"/>
        </w:rPr>
        <w:t>普通高等学校基本办学条件指标</w:t>
      </w:r>
      <w:r>
        <w:rPr>
          <w:rFonts w:ascii="宋体" w:hAnsi="宋体" w:cs="宋体"/>
          <w:kern w:val="0"/>
          <w:sz w:val="30"/>
          <w:szCs w:val="30"/>
        </w:rPr>
        <w:t>（试行）</w:t>
      </w:r>
    </w:p>
    <w:p>
      <w:pPr>
        <w:widowControl/>
        <w:spacing w:line="360" w:lineRule="auto"/>
        <w:rPr>
          <w:rFonts w:hint="eastAsia" w:ascii="宋体" w:hAnsi="宋体" w:cs="宋体"/>
          <w:kern w:val="0"/>
          <w:szCs w:val="21"/>
        </w:rPr>
      </w:pPr>
      <w:r>
        <w:rPr>
          <w:rFonts w:hint="eastAsia" w:ascii="宋体" w:hAnsi="宋体" w:cs="宋体"/>
          <w:b/>
          <w:bCs/>
          <w:color w:val="000000"/>
          <w:kern w:val="0"/>
          <w:sz w:val="24"/>
        </w:rPr>
        <w:t>表一：基本办学条件指标：</w:t>
      </w:r>
      <w:r>
        <w:rPr>
          <w:rFonts w:hint="eastAsia" w:ascii="宋体" w:hAnsi="宋体" w:cs="宋体"/>
          <w:b/>
          <w:bCs/>
          <w:color w:val="FF0000"/>
          <w:kern w:val="0"/>
          <w:sz w:val="24"/>
        </w:rPr>
        <w:t>合格</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5"/>
        <w:gridCol w:w="955"/>
        <w:gridCol w:w="1567"/>
        <w:gridCol w:w="1312"/>
        <w:gridCol w:w="1620"/>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1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8"/>
              </w:rPr>
              <w:t xml:space="preserve">  </w:t>
            </w:r>
            <w:r>
              <w:rPr>
                <w:rFonts w:hint="eastAsia" w:cs="宋体"/>
                <w:color w:val="000000"/>
                <w:kern w:val="0"/>
                <w:sz w:val="28"/>
              </w:rPr>
              <w:t>学校类别</w:t>
            </w:r>
          </w:p>
        </w:tc>
        <w:tc>
          <w:tcPr>
            <w:tcW w:w="6764"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24"/>
              </w:rPr>
              <w:t>高</w:t>
            </w:r>
            <w:r>
              <w:rPr>
                <w:rFonts w:hint="eastAsia" w:ascii="宋体" w:hAnsi="宋体" w:cs="宋体"/>
                <w:color w:val="000000"/>
                <w:kern w:val="0"/>
                <w:sz w:val="24"/>
              </w:rPr>
              <w:t xml:space="preserve">    </w:t>
            </w:r>
            <w:r>
              <w:rPr>
                <w:rFonts w:hint="eastAsia" w:cs="宋体"/>
                <w:color w:val="000000"/>
                <w:kern w:val="0"/>
                <w:sz w:val="24"/>
              </w:rPr>
              <w:t>职（专</w:t>
            </w:r>
            <w:r>
              <w:rPr>
                <w:rFonts w:hint="eastAsia" w:ascii="宋体" w:hAnsi="宋体" w:cs="宋体"/>
                <w:color w:val="000000"/>
                <w:kern w:val="0"/>
                <w:sz w:val="24"/>
              </w:rPr>
              <w:t xml:space="preserve">    </w:t>
            </w:r>
            <w:r>
              <w:rPr>
                <w:rFonts w:hint="eastAsia" w:cs="宋体"/>
                <w:color w:val="000000"/>
                <w:kern w:val="0"/>
                <w:sz w:val="24"/>
              </w:rPr>
              <w:t>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20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color w:val="000000"/>
                <w:kern w:val="0"/>
                <w:sz w:val="24"/>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生师比</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具有研究生学位教师占专任教师的比例（</w:t>
            </w:r>
            <w:r>
              <w:rPr>
                <w:rFonts w:hint="eastAsia" w:ascii="宋体" w:hAnsi="宋体" w:cs="宋体"/>
                <w:color w:val="000000"/>
                <w:kern w:val="0"/>
                <w:sz w:val="18"/>
              </w:rPr>
              <w:t>%</w:t>
            </w:r>
            <w:r>
              <w:rPr>
                <w:rFonts w:hint="eastAsia" w:cs="宋体"/>
                <w:color w:val="000000"/>
                <w:kern w:val="0"/>
                <w:sz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生均教学行政用房（平方米</w:t>
            </w:r>
            <w:r>
              <w:rPr>
                <w:rFonts w:hint="eastAsia" w:ascii="宋体" w:hAnsi="宋体" w:cs="宋体"/>
                <w:color w:val="000000"/>
                <w:kern w:val="0"/>
                <w:sz w:val="18"/>
              </w:rPr>
              <w:t>/</w:t>
            </w:r>
            <w:r>
              <w:rPr>
                <w:rFonts w:hint="eastAsia" w:cs="宋体"/>
                <w:color w:val="000000"/>
                <w:kern w:val="0"/>
                <w:sz w:val="18"/>
              </w:rPr>
              <w:t>生）</w:t>
            </w:r>
          </w:p>
        </w:tc>
        <w:tc>
          <w:tcPr>
            <w:tcW w:w="16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生均教学科研仪器设备值（元</w:t>
            </w:r>
            <w:r>
              <w:rPr>
                <w:rFonts w:hint="eastAsia" w:ascii="宋体" w:hAnsi="宋体" w:cs="宋体"/>
                <w:color w:val="000000"/>
                <w:kern w:val="0"/>
                <w:sz w:val="18"/>
              </w:rPr>
              <w:t>/</w:t>
            </w:r>
            <w:r>
              <w:rPr>
                <w:rFonts w:hint="eastAsia" w:cs="宋体"/>
                <w:color w:val="000000"/>
                <w:kern w:val="0"/>
                <w:sz w:val="18"/>
              </w:rPr>
              <w:t>生）</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生均图书</w:t>
            </w:r>
            <w:r>
              <w:rPr>
                <w:rFonts w:hint="eastAsia" w:ascii="宋体" w:hAnsi="宋体" w:cs="宋体"/>
                <w:color w:val="000000"/>
                <w:kern w:val="0"/>
                <w:sz w:val="18"/>
              </w:rPr>
              <w:t xml:space="preserve"> </w:t>
            </w:r>
          </w:p>
          <w:p>
            <w:pPr>
              <w:widowControl/>
              <w:spacing w:line="360" w:lineRule="auto"/>
              <w:jc w:val="center"/>
              <w:rPr>
                <w:rFonts w:ascii="宋体" w:hAnsi="宋体" w:cs="宋体"/>
                <w:color w:val="000000"/>
                <w:kern w:val="0"/>
                <w:sz w:val="24"/>
              </w:rPr>
            </w:pPr>
            <w:r>
              <w:rPr>
                <w:rFonts w:hint="eastAsia" w:cs="宋体"/>
                <w:color w:val="000000"/>
                <w:kern w:val="0"/>
                <w:sz w:val="18"/>
              </w:rPr>
              <w:t>（册</w:t>
            </w:r>
            <w:r>
              <w:rPr>
                <w:rFonts w:hint="eastAsia" w:ascii="宋体" w:hAnsi="宋体" w:cs="宋体"/>
                <w:color w:val="000000"/>
                <w:kern w:val="0"/>
                <w:sz w:val="18"/>
              </w:rPr>
              <w:t>/</w:t>
            </w:r>
            <w:r>
              <w:rPr>
                <w:rFonts w:hint="eastAsia" w:cs="宋体"/>
                <w:color w:val="000000"/>
                <w:kern w:val="0"/>
                <w:sz w:val="18"/>
              </w:rPr>
              <w:t>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9"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left"/>
              <w:rPr>
                <w:rFonts w:ascii="宋体" w:hAnsi="宋体" w:cs="宋体"/>
                <w:color w:val="000000"/>
                <w:kern w:val="0"/>
                <w:sz w:val="24"/>
              </w:rPr>
            </w:pPr>
            <w:r>
              <w:rPr>
                <w:rFonts w:hint="eastAsia" w:cs="宋体"/>
                <w:color w:val="000000"/>
                <w:kern w:val="0"/>
                <w:sz w:val="18"/>
              </w:rPr>
              <w:t>综合、师范、民族院校</w:t>
            </w:r>
            <w:r>
              <w:rPr>
                <w:rFonts w:hint="eastAsia" w:ascii="宋体" w:hAnsi="宋体" w:cs="宋体"/>
                <w:color w:val="000000"/>
                <w:kern w:val="0"/>
                <w:sz w:val="18"/>
              </w:rPr>
              <w:t xml:space="preserve"> </w:t>
            </w:r>
          </w:p>
          <w:p>
            <w:pPr>
              <w:widowControl/>
              <w:spacing w:line="360" w:lineRule="auto"/>
              <w:jc w:val="left"/>
              <w:rPr>
                <w:rFonts w:hint="eastAsia" w:ascii="宋体" w:hAnsi="宋体" w:cs="宋体"/>
                <w:color w:val="000000"/>
                <w:kern w:val="0"/>
                <w:sz w:val="24"/>
              </w:rPr>
            </w:pPr>
            <w:r>
              <w:rPr>
                <w:rFonts w:hint="eastAsia" w:cs="宋体"/>
                <w:color w:val="000000"/>
                <w:kern w:val="0"/>
                <w:sz w:val="18"/>
              </w:rPr>
              <w:t>工科、农、林院校</w:t>
            </w:r>
            <w:r>
              <w:rPr>
                <w:rFonts w:hint="eastAsia" w:ascii="宋体" w:hAnsi="宋体" w:cs="宋体"/>
                <w:color w:val="000000"/>
                <w:kern w:val="0"/>
                <w:sz w:val="18"/>
              </w:rPr>
              <w:t xml:space="preserve"> </w:t>
            </w:r>
          </w:p>
          <w:p>
            <w:pPr>
              <w:widowControl/>
              <w:spacing w:line="360" w:lineRule="auto"/>
              <w:jc w:val="left"/>
              <w:rPr>
                <w:rFonts w:hint="eastAsia" w:ascii="宋体" w:hAnsi="宋体" w:cs="宋体"/>
                <w:color w:val="000000"/>
                <w:kern w:val="0"/>
                <w:sz w:val="24"/>
              </w:rPr>
            </w:pPr>
            <w:r>
              <w:rPr>
                <w:rFonts w:hint="eastAsia" w:cs="宋体"/>
                <w:color w:val="000000"/>
                <w:kern w:val="0"/>
                <w:sz w:val="18"/>
              </w:rPr>
              <w:t>医学院校</w:t>
            </w:r>
            <w:r>
              <w:rPr>
                <w:rFonts w:hint="eastAsia" w:ascii="宋体" w:hAnsi="宋体" w:cs="宋体"/>
                <w:color w:val="000000"/>
                <w:kern w:val="0"/>
                <w:sz w:val="18"/>
              </w:rPr>
              <w:t xml:space="preserve"> </w:t>
            </w:r>
          </w:p>
          <w:p>
            <w:pPr>
              <w:widowControl/>
              <w:spacing w:line="360" w:lineRule="auto"/>
              <w:jc w:val="left"/>
              <w:rPr>
                <w:rFonts w:hint="eastAsia" w:ascii="宋体" w:hAnsi="宋体" w:cs="宋体"/>
                <w:color w:val="000000"/>
                <w:kern w:val="0"/>
                <w:sz w:val="24"/>
              </w:rPr>
            </w:pPr>
            <w:r>
              <w:rPr>
                <w:rFonts w:hint="eastAsia" w:cs="宋体"/>
                <w:color w:val="000000"/>
                <w:kern w:val="0"/>
                <w:sz w:val="18"/>
              </w:rPr>
              <w:t>语文、财经、政法院校</w:t>
            </w:r>
            <w:r>
              <w:rPr>
                <w:rFonts w:hint="eastAsia" w:ascii="宋体" w:hAnsi="宋体" w:cs="宋体"/>
                <w:color w:val="000000"/>
                <w:kern w:val="0"/>
                <w:sz w:val="18"/>
              </w:rPr>
              <w:t xml:space="preserve"> </w:t>
            </w:r>
          </w:p>
          <w:p>
            <w:pPr>
              <w:widowControl/>
              <w:spacing w:line="360" w:lineRule="auto"/>
              <w:jc w:val="left"/>
              <w:rPr>
                <w:rFonts w:hint="eastAsia" w:ascii="宋体" w:hAnsi="宋体" w:cs="宋体"/>
                <w:color w:val="000000"/>
                <w:kern w:val="0"/>
                <w:sz w:val="24"/>
              </w:rPr>
            </w:pPr>
            <w:r>
              <w:rPr>
                <w:rFonts w:hint="eastAsia" w:cs="宋体"/>
                <w:color w:val="000000"/>
                <w:kern w:val="0"/>
                <w:sz w:val="18"/>
              </w:rPr>
              <w:t>体育院校</w:t>
            </w:r>
            <w:r>
              <w:rPr>
                <w:rFonts w:hint="eastAsia" w:ascii="宋体" w:hAnsi="宋体" w:cs="宋体"/>
                <w:color w:val="000000"/>
                <w:kern w:val="0"/>
                <w:sz w:val="18"/>
              </w:rPr>
              <w:t xml:space="preserve"> </w:t>
            </w:r>
          </w:p>
          <w:p>
            <w:pPr>
              <w:widowControl/>
              <w:spacing w:line="360" w:lineRule="auto"/>
              <w:jc w:val="left"/>
              <w:rPr>
                <w:rFonts w:ascii="宋体" w:hAnsi="宋体" w:cs="宋体"/>
                <w:color w:val="000000"/>
                <w:kern w:val="0"/>
                <w:sz w:val="24"/>
              </w:rPr>
            </w:pPr>
            <w:r>
              <w:rPr>
                <w:rFonts w:hint="eastAsia" w:cs="宋体"/>
                <w:color w:val="000000"/>
                <w:kern w:val="0"/>
                <w:sz w:val="18"/>
              </w:rPr>
              <w:t>艺术院校</w:t>
            </w:r>
          </w:p>
        </w:tc>
        <w:tc>
          <w:tcPr>
            <w:tcW w:w="9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18"/>
              </w:rPr>
              <w:t>18</w:t>
            </w:r>
            <w:r>
              <w:rPr>
                <w:rFonts w:hint="eastAsia" w:ascii="宋体" w:hAnsi="宋体" w:cs="宋体"/>
                <w:color w:val="000000"/>
                <w:kern w:val="0"/>
                <w:sz w:val="24"/>
              </w:rPr>
              <w:t xml:space="preserve">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18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16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18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13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13 </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15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15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15</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18"/>
              </w:rPr>
              <w:t>15</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16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16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9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22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18 </w:t>
            </w:r>
          </w:p>
        </w:tc>
        <w:tc>
          <w:tcPr>
            <w:tcW w:w="16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18"/>
              </w:rPr>
              <w:t xml:space="preserve">4000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4000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4000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3000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3000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3000 </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18"/>
              </w:rPr>
              <w:t xml:space="preserve">80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60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60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80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50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60 </w:t>
            </w:r>
          </w:p>
        </w:tc>
      </w:tr>
    </w:tbl>
    <w:p>
      <w:pPr>
        <w:widowControl/>
        <w:spacing w:line="360" w:lineRule="auto"/>
        <w:rPr>
          <w:rFonts w:hint="eastAsia" w:ascii="宋体" w:hAnsi="宋体" w:cs="宋体"/>
          <w:color w:val="000000"/>
          <w:kern w:val="0"/>
          <w:sz w:val="20"/>
          <w:szCs w:val="20"/>
        </w:rPr>
      </w:pPr>
      <w:r>
        <w:rPr>
          <w:rFonts w:hint="eastAsia" w:ascii="宋体" w:hAnsi="宋体" w:cs="宋体"/>
          <w:b/>
          <w:bCs/>
          <w:color w:val="000000"/>
          <w:kern w:val="0"/>
          <w:sz w:val="20"/>
          <w:szCs w:val="20"/>
        </w:rPr>
        <w:t>备注：</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１．聘请校外教师经折算后计入教师总数，原则上聘请校外教师数不超过专任教师总数的四分之一。</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２．凡生师比指标不高于表中数值，且其它指标不低于表中数值的学校为合格学校。</w:t>
      </w:r>
    </w:p>
    <w:p>
      <w:pPr>
        <w:widowControl/>
        <w:spacing w:line="360" w:lineRule="auto"/>
        <w:rPr>
          <w:rFonts w:hint="eastAsia" w:ascii="宋体" w:hAnsi="宋体" w:cs="宋体"/>
          <w:b/>
          <w:bCs/>
          <w:color w:val="FF0000"/>
          <w:kern w:val="0"/>
          <w:sz w:val="24"/>
        </w:rPr>
      </w:pPr>
      <w:r>
        <w:rPr>
          <w:rFonts w:hint="eastAsia" w:ascii="宋体" w:hAnsi="宋体" w:cs="宋体"/>
          <w:b/>
          <w:bCs/>
          <w:color w:val="000000"/>
          <w:kern w:val="0"/>
          <w:sz w:val="24"/>
        </w:rPr>
        <w:t>表二、基本办学条件指标：</w:t>
      </w:r>
      <w:r>
        <w:rPr>
          <w:rFonts w:hint="eastAsia" w:ascii="宋体" w:hAnsi="宋体" w:cs="宋体"/>
          <w:b/>
          <w:bCs/>
          <w:color w:val="FF0000"/>
          <w:kern w:val="0"/>
          <w:sz w:val="24"/>
        </w:rPr>
        <w:t>限制招生</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35"/>
        <w:gridCol w:w="886"/>
        <w:gridCol w:w="1610"/>
        <w:gridCol w:w="1286"/>
        <w:gridCol w:w="1665"/>
        <w:gridCol w:w="1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21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left"/>
              <w:rPr>
                <w:rFonts w:ascii="宋体" w:hAnsi="宋体" w:cs="宋体"/>
                <w:color w:val="000000"/>
                <w:kern w:val="0"/>
                <w:sz w:val="24"/>
              </w:rPr>
            </w:pPr>
            <w:r>
              <w:rPr>
                <w:rFonts w:hint="eastAsia" w:ascii="宋体" w:hAnsi="宋体" w:cs="宋体"/>
                <w:color w:val="000000"/>
                <w:kern w:val="0"/>
                <w:sz w:val="28"/>
              </w:rPr>
              <w:t xml:space="preserve">  </w:t>
            </w:r>
          </w:p>
          <w:p>
            <w:pPr>
              <w:widowControl/>
              <w:spacing w:line="360" w:lineRule="auto"/>
              <w:ind w:left="105"/>
              <w:jc w:val="center"/>
              <w:rPr>
                <w:rFonts w:hint="eastAsia" w:ascii="宋体" w:hAnsi="宋体" w:cs="宋体"/>
                <w:color w:val="000000"/>
                <w:kern w:val="0"/>
                <w:sz w:val="24"/>
              </w:rPr>
            </w:pPr>
            <w:r>
              <w:rPr>
                <w:rFonts w:hint="eastAsia" w:cs="宋体"/>
                <w:color w:val="000000"/>
                <w:kern w:val="0"/>
                <w:sz w:val="28"/>
              </w:rPr>
              <w:t>学校类别</w:t>
            </w:r>
            <w:r>
              <w:rPr>
                <w:rFonts w:hint="eastAsia" w:ascii="宋体" w:hAnsi="宋体" w:cs="宋体"/>
                <w:b/>
                <w:bCs/>
                <w:color w:val="000000"/>
                <w:kern w:val="0"/>
                <w:sz w:val="24"/>
              </w:rPr>
              <w:t xml:space="preserve"> </w:t>
            </w:r>
          </w:p>
          <w:p>
            <w:pPr>
              <w:widowControl/>
              <w:spacing w:line="360" w:lineRule="auto"/>
              <w:ind w:left="105"/>
              <w:jc w:val="center"/>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b/>
                <w:bCs/>
                <w:color w:val="000000"/>
                <w:kern w:val="0"/>
                <w:sz w:val="24"/>
              </w:rPr>
              <w:t xml:space="preserve"> </w:t>
            </w:r>
          </w:p>
        </w:tc>
        <w:tc>
          <w:tcPr>
            <w:tcW w:w="6667"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24"/>
              </w:rPr>
              <w:t>高</w:t>
            </w:r>
            <w:r>
              <w:rPr>
                <w:rFonts w:hint="eastAsia" w:ascii="宋体" w:hAnsi="宋体" w:cs="宋体"/>
                <w:color w:val="000000"/>
                <w:kern w:val="0"/>
                <w:sz w:val="24"/>
              </w:rPr>
              <w:t xml:space="preserve">    </w:t>
            </w:r>
            <w:r>
              <w:rPr>
                <w:rFonts w:hint="eastAsia" w:cs="宋体"/>
                <w:color w:val="000000"/>
                <w:kern w:val="0"/>
                <w:sz w:val="24"/>
              </w:rPr>
              <w:t>职（专</w:t>
            </w:r>
            <w:r>
              <w:rPr>
                <w:rFonts w:hint="eastAsia" w:ascii="宋体" w:hAnsi="宋体" w:cs="宋体"/>
                <w:color w:val="000000"/>
                <w:kern w:val="0"/>
                <w:sz w:val="24"/>
              </w:rPr>
              <w:t xml:space="preserve">    </w:t>
            </w:r>
            <w:r>
              <w:rPr>
                <w:rFonts w:hint="eastAsia" w:cs="宋体"/>
                <w:color w:val="000000"/>
                <w:kern w:val="0"/>
                <w:sz w:val="24"/>
              </w:rPr>
              <w:t>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21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color w:val="000000"/>
                <w:kern w:val="0"/>
                <w:sz w:val="24"/>
              </w:rPr>
            </w:pPr>
          </w:p>
        </w:tc>
        <w:tc>
          <w:tcPr>
            <w:tcW w:w="9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b/>
                <w:bCs/>
                <w:color w:val="000000"/>
                <w:kern w:val="0"/>
                <w:sz w:val="24"/>
              </w:rPr>
              <w:t xml:space="preserve">  </w:t>
            </w:r>
          </w:p>
          <w:p>
            <w:pPr>
              <w:widowControl/>
              <w:spacing w:line="360" w:lineRule="auto"/>
              <w:jc w:val="center"/>
              <w:rPr>
                <w:rFonts w:ascii="宋体" w:hAnsi="宋体" w:cs="宋体"/>
                <w:color w:val="000000"/>
                <w:kern w:val="0"/>
                <w:sz w:val="24"/>
              </w:rPr>
            </w:pPr>
            <w:r>
              <w:rPr>
                <w:rFonts w:hint="eastAsia" w:cs="宋体"/>
                <w:color w:val="000000"/>
                <w:kern w:val="0"/>
                <w:sz w:val="18"/>
              </w:rPr>
              <w:t>生师比</w:t>
            </w:r>
            <w:r>
              <w:rPr>
                <w:rFonts w:hint="eastAsia" w:ascii="宋体" w:hAnsi="宋体" w:cs="宋体"/>
                <w:b/>
                <w:bCs/>
                <w:color w:val="000000"/>
                <w:kern w:val="0"/>
                <w:sz w:val="24"/>
              </w:rPr>
              <w:t xml:space="preserve"> </w:t>
            </w:r>
          </w:p>
        </w:tc>
        <w:tc>
          <w:tcPr>
            <w:tcW w:w="165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具有研究生学位教师占专任教师的比例（</w:t>
            </w:r>
            <w:r>
              <w:rPr>
                <w:rFonts w:hint="eastAsia" w:ascii="宋体" w:hAnsi="宋体" w:cs="宋体"/>
                <w:color w:val="000000"/>
                <w:kern w:val="0"/>
                <w:sz w:val="18"/>
              </w:rPr>
              <w:t>%</w:t>
            </w:r>
            <w:r>
              <w:rPr>
                <w:rFonts w:hint="eastAsia" w:cs="宋体"/>
                <w:color w:val="000000"/>
                <w:kern w:val="0"/>
                <w:sz w:val="18"/>
              </w:rPr>
              <w:t>）</w:t>
            </w:r>
            <w:r>
              <w:rPr>
                <w:rFonts w:hint="eastAsia" w:ascii="宋体" w:hAnsi="宋体" w:cs="宋体"/>
                <w:b/>
                <w:bCs/>
                <w:color w:val="000000"/>
                <w:kern w:val="0"/>
                <w:sz w:val="24"/>
              </w:rPr>
              <w:t xml:space="preserve"> </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生均教学行政用房（平方米</w:t>
            </w:r>
            <w:r>
              <w:rPr>
                <w:rFonts w:hint="eastAsia" w:ascii="宋体" w:hAnsi="宋体" w:cs="宋体"/>
                <w:color w:val="000000"/>
                <w:kern w:val="0"/>
                <w:sz w:val="18"/>
              </w:rPr>
              <w:t>/</w:t>
            </w:r>
            <w:r>
              <w:rPr>
                <w:rFonts w:hint="eastAsia" w:cs="宋体"/>
                <w:color w:val="000000"/>
                <w:kern w:val="0"/>
                <w:sz w:val="18"/>
              </w:rPr>
              <w:t>生）</w:t>
            </w:r>
            <w:r>
              <w:rPr>
                <w:rFonts w:hint="eastAsia" w:ascii="宋体" w:hAnsi="宋体" w:cs="宋体"/>
                <w:b/>
                <w:bCs/>
                <w:color w:val="000000"/>
                <w:kern w:val="0"/>
                <w:sz w:val="24"/>
              </w:rPr>
              <w:t xml:space="preserve"> </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生均教学科研仪器设备值（元</w:t>
            </w:r>
            <w:r>
              <w:rPr>
                <w:rFonts w:hint="eastAsia" w:ascii="宋体" w:hAnsi="宋体" w:cs="宋体"/>
                <w:color w:val="000000"/>
                <w:kern w:val="0"/>
                <w:sz w:val="18"/>
              </w:rPr>
              <w:t>/</w:t>
            </w:r>
            <w:r>
              <w:rPr>
                <w:rFonts w:hint="eastAsia" w:cs="宋体"/>
                <w:color w:val="000000"/>
                <w:kern w:val="0"/>
                <w:sz w:val="18"/>
              </w:rPr>
              <w:t>生）</w:t>
            </w:r>
            <w:r>
              <w:rPr>
                <w:rFonts w:hint="eastAsia" w:ascii="宋体" w:hAnsi="宋体" w:cs="宋体"/>
                <w:b/>
                <w:bCs/>
                <w:color w:val="000000"/>
                <w:kern w:val="0"/>
                <w:sz w:val="24"/>
              </w:rPr>
              <w:t xml:space="preserve"> </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cs="宋体"/>
                <w:color w:val="000000"/>
                <w:kern w:val="0"/>
                <w:sz w:val="18"/>
              </w:rPr>
              <w:t>生均图书</w:t>
            </w:r>
            <w:r>
              <w:rPr>
                <w:rFonts w:hint="eastAsia" w:ascii="宋体" w:hAnsi="宋体" w:cs="宋体"/>
                <w:color w:val="000000"/>
                <w:kern w:val="0"/>
                <w:sz w:val="18"/>
              </w:rPr>
              <w:t xml:space="preserve"> </w:t>
            </w:r>
          </w:p>
          <w:p>
            <w:pPr>
              <w:widowControl/>
              <w:spacing w:line="360" w:lineRule="auto"/>
              <w:jc w:val="center"/>
              <w:rPr>
                <w:rFonts w:ascii="宋体" w:hAnsi="宋体" w:cs="宋体"/>
                <w:color w:val="000000"/>
                <w:kern w:val="0"/>
                <w:sz w:val="24"/>
              </w:rPr>
            </w:pPr>
            <w:r>
              <w:rPr>
                <w:rFonts w:hint="eastAsia" w:cs="宋体"/>
                <w:color w:val="000000"/>
                <w:kern w:val="0"/>
                <w:sz w:val="18"/>
              </w:rPr>
              <w:t>（册</w:t>
            </w:r>
            <w:r>
              <w:rPr>
                <w:rFonts w:hint="eastAsia" w:ascii="宋体" w:hAnsi="宋体" w:cs="宋体"/>
                <w:color w:val="000000"/>
                <w:kern w:val="0"/>
                <w:sz w:val="18"/>
              </w:rPr>
              <w:t>/</w:t>
            </w:r>
            <w:r>
              <w:rPr>
                <w:rFonts w:hint="eastAsia" w:cs="宋体"/>
                <w:color w:val="000000"/>
                <w:kern w:val="0"/>
                <w:sz w:val="18"/>
              </w:rPr>
              <w:t>生）</w:t>
            </w:r>
            <w:r>
              <w:rPr>
                <w:rFonts w:hint="eastAsia" w:ascii="宋体" w:hAnsi="宋体"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jc w:val="center"/>
        </w:trPr>
        <w:tc>
          <w:tcPr>
            <w:tcW w:w="21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left"/>
              <w:rPr>
                <w:rFonts w:ascii="宋体" w:hAnsi="宋体" w:cs="宋体"/>
                <w:kern w:val="0"/>
                <w:sz w:val="24"/>
              </w:rPr>
            </w:pPr>
            <w:r>
              <w:rPr>
                <w:rFonts w:hint="eastAsia" w:cs="宋体"/>
                <w:color w:val="000000"/>
                <w:kern w:val="0"/>
                <w:sz w:val="18"/>
              </w:rPr>
              <w:t>综合、师范、民族院校</w:t>
            </w:r>
          </w:p>
          <w:p>
            <w:pPr>
              <w:widowControl/>
              <w:spacing w:line="360" w:lineRule="auto"/>
              <w:jc w:val="left"/>
              <w:rPr>
                <w:rFonts w:ascii="宋体" w:hAnsi="宋体" w:cs="宋体"/>
                <w:color w:val="000000"/>
                <w:kern w:val="0"/>
                <w:sz w:val="24"/>
              </w:rPr>
            </w:pPr>
            <w:r>
              <w:rPr>
                <w:rFonts w:hint="eastAsia" w:cs="宋体"/>
                <w:color w:val="000000"/>
                <w:kern w:val="0"/>
                <w:sz w:val="18"/>
              </w:rPr>
              <w:t>工科、农林、医学院校</w:t>
            </w:r>
          </w:p>
          <w:p>
            <w:pPr>
              <w:widowControl/>
              <w:spacing w:line="360" w:lineRule="auto"/>
              <w:jc w:val="left"/>
              <w:rPr>
                <w:rFonts w:hint="eastAsia" w:ascii="宋体" w:hAnsi="宋体" w:cs="宋体"/>
                <w:color w:val="000000"/>
                <w:kern w:val="0"/>
                <w:sz w:val="24"/>
              </w:rPr>
            </w:pPr>
            <w:r>
              <w:rPr>
                <w:rFonts w:hint="eastAsia" w:cs="宋体"/>
                <w:color w:val="000000"/>
                <w:kern w:val="0"/>
                <w:sz w:val="18"/>
              </w:rPr>
              <w:t>语文、财经、政法院校</w:t>
            </w:r>
            <w:r>
              <w:rPr>
                <w:rFonts w:hint="eastAsia" w:ascii="宋体" w:hAnsi="宋体" w:cs="宋体"/>
                <w:color w:val="000000"/>
                <w:kern w:val="0"/>
                <w:sz w:val="18"/>
              </w:rPr>
              <w:t xml:space="preserve"> </w:t>
            </w:r>
          </w:p>
          <w:p>
            <w:pPr>
              <w:widowControl/>
              <w:spacing w:line="360" w:lineRule="auto"/>
              <w:jc w:val="left"/>
              <w:rPr>
                <w:rFonts w:hint="eastAsia" w:ascii="宋体" w:hAnsi="宋体" w:cs="宋体"/>
                <w:color w:val="000000"/>
                <w:kern w:val="0"/>
                <w:sz w:val="24"/>
              </w:rPr>
            </w:pPr>
            <w:r>
              <w:rPr>
                <w:rFonts w:hint="eastAsia" w:cs="宋体"/>
                <w:color w:val="000000"/>
                <w:kern w:val="0"/>
                <w:sz w:val="18"/>
              </w:rPr>
              <w:t>体育院校</w:t>
            </w:r>
            <w:r>
              <w:rPr>
                <w:rFonts w:hint="eastAsia" w:ascii="宋体" w:hAnsi="宋体" w:cs="宋体"/>
                <w:color w:val="000000"/>
                <w:kern w:val="0"/>
                <w:sz w:val="18"/>
              </w:rPr>
              <w:t xml:space="preserve"> </w:t>
            </w:r>
          </w:p>
          <w:p>
            <w:pPr>
              <w:widowControl/>
              <w:spacing w:line="360" w:lineRule="auto"/>
              <w:jc w:val="left"/>
              <w:rPr>
                <w:rFonts w:ascii="宋体" w:hAnsi="宋体" w:cs="宋体"/>
                <w:color w:val="000000"/>
                <w:kern w:val="0"/>
                <w:sz w:val="24"/>
              </w:rPr>
            </w:pPr>
            <w:r>
              <w:rPr>
                <w:rFonts w:hint="eastAsia" w:cs="宋体"/>
                <w:color w:val="000000"/>
                <w:kern w:val="0"/>
                <w:sz w:val="18"/>
              </w:rPr>
              <w:t>艺术院校</w:t>
            </w:r>
            <w:r>
              <w:rPr>
                <w:rFonts w:hint="eastAsia" w:ascii="宋体" w:hAnsi="宋体" w:cs="宋体"/>
                <w:color w:val="000000"/>
                <w:kern w:val="0"/>
                <w:sz w:val="18"/>
              </w:rPr>
              <w:t xml:space="preserve"> </w:t>
            </w:r>
          </w:p>
        </w:tc>
        <w:tc>
          <w:tcPr>
            <w:tcW w:w="9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22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22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23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17 </w:t>
            </w:r>
          </w:p>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18"/>
              </w:rPr>
              <w:t>17</w:t>
            </w:r>
            <w:r>
              <w:rPr>
                <w:rFonts w:hint="eastAsia" w:ascii="宋体" w:hAnsi="宋体" w:cs="宋体"/>
                <w:color w:val="000000"/>
                <w:kern w:val="0"/>
                <w:sz w:val="24"/>
              </w:rPr>
              <w:t xml:space="preserve"> </w:t>
            </w:r>
          </w:p>
        </w:tc>
        <w:tc>
          <w:tcPr>
            <w:tcW w:w="165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5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5</w:t>
            </w:r>
            <w:r>
              <w:rPr>
                <w:rFonts w:hint="eastAsia" w:ascii="宋体" w:hAnsi="宋体" w:cs="宋体"/>
                <w:b/>
                <w:bCs/>
                <w:color w:val="000000"/>
                <w:kern w:val="0"/>
                <w:sz w:val="24"/>
              </w:rPr>
              <w:t xml:space="preserve"> </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8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9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13 </w:t>
            </w:r>
          </w:p>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24"/>
              </w:rPr>
              <w:t>11</w:t>
            </w:r>
            <w:r>
              <w:rPr>
                <w:rFonts w:hint="eastAsia" w:ascii="宋体" w:hAnsi="宋体" w:cs="宋体"/>
                <w:b/>
                <w:bCs/>
                <w:color w:val="000000"/>
                <w:kern w:val="0"/>
                <w:sz w:val="24"/>
              </w:rPr>
              <w:t xml:space="preserve"> </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2500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2500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2000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2000 </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2000</w:t>
            </w:r>
            <w:r>
              <w:rPr>
                <w:rFonts w:hint="eastAsia" w:ascii="宋体" w:hAnsi="宋体" w:cs="宋体"/>
                <w:b/>
                <w:bCs/>
                <w:color w:val="000000"/>
                <w:kern w:val="0"/>
                <w:sz w:val="24"/>
              </w:rPr>
              <w:t xml:space="preserve"> </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18"/>
              </w:rPr>
              <w:t xml:space="preserve">45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35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45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18"/>
              </w:rPr>
              <w:t xml:space="preserve">30 </w:t>
            </w:r>
          </w:p>
          <w:p>
            <w:pPr>
              <w:widowControl/>
              <w:tabs>
                <w:tab w:val="left" w:pos="420"/>
              </w:tabs>
              <w:spacing w:line="360" w:lineRule="auto"/>
              <w:jc w:val="center"/>
              <w:rPr>
                <w:rFonts w:ascii="宋体" w:hAnsi="宋体" w:cs="宋体"/>
                <w:color w:val="000000"/>
                <w:kern w:val="0"/>
                <w:sz w:val="24"/>
              </w:rPr>
            </w:pPr>
            <w:r>
              <w:rPr>
                <w:rFonts w:hint="eastAsia" w:ascii="宋体" w:hAnsi="宋体" w:cs="宋体"/>
                <w:color w:val="000000"/>
                <w:kern w:val="0"/>
                <w:sz w:val="24"/>
              </w:rPr>
              <w:t>35</w:t>
            </w:r>
            <w:r>
              <w:rPr>
                <w:rFonts w:hint="eastAsia" w:ascii="宋体" w:hAnsi="宋体" w:cs="宋体"/>
                <w:b/>
                <w:bCs/>
                <w:color w:val="000000"/>
                <w:kern w:val="0"/>
                <w:sz w:val="24"/>
              </w:rPr>
              <w:t xml:space="preserve"> </w:t>
            </w:r>
          </w:p>
        </w:tc>
      </w:tr>
    </w:tbl>
    <w:p>
      <w:pPr>
        <w:widowControl/>
        <w:spacing w:line="360" w:lineRule="auto"/>
        <w:rPr>
          <w:rFonts w:hint="eastAsia" w:ascii="宋体" w:hAnsi="宋体" w:cs="宋体"/>
          <w:color w:val="000000"/>
          <w:kern w:val="0"/>
          <w:sz w:val="20"/>
          <w:szCs w:val="20"/>
        </w:rPr>
      </w:pPr>
      <w:r>
        <w:rPr>
          <w:rFonts w:hint="eastAsia" w:ascii="宋体" w:hAnsi="宋体" w:cs="宋体"/>
          <w:b/>
          <w:bCs/>
          <w:color w:val="000000"/>
          <w:kern w:val="0"/>
          <w:sz w:val="20"/>
          <w:szCs w:val="20"/>
        </w:rPr>
        <w:t>备注：</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１．生师比指标高于表中数值或其它某一项指标低于表中数值，即该项指标未达到规定要求。</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２．凡有一项指标未达到规定要求的学校，即被确定为限制招生（黄牌）学校。</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３．凡两项或两项以上指标未达到规定要求的学校，即被确定为暂停招生（红牌）学校。</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４．凡连续三年被确定为“黄”牌的学校，第三年即被确定为暂停招生（红牌）学校。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color w:val="000000"/>
          <w:kern w:val="0"/>
          <w:sz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color w:val="000000"/>
          <w:kern w:val="0"/>
          <w:sz w:val="24"/>
        </w:rPr>
      </w:pPr>
      <w:r>
        <w:rPr>
          <w:rFonts w:hint="eastAsia" w:ascii="宋体" w:hAnsi="宋体" w:cs="宋体"/>
          <w:b/>
          <w:bCs/>
          <w:color w:val="000000"/>
          <w:kern w:val="0"/>
          <w:sz w:val="24"/>
        </w:rPr>
        <w:t>表三、监测办学条件指标：</w:t>
      </w:r>
      <w:r>
        <w:rPr>
          <w:rFonts w:hint="eastAsia" w:ascii="宋体" w:hAnsi="宋体" w:cs="宋体"/>
          <w:b/>
          <w:bCs/>
          <w:color w:val="FF0000"/>
          <w:kern w:val="0"/>
          <w:sz w:val="24"/>
        </w:rPr>
        <w:t>合格要求</w:t>
      </w:r>
    </w:p>
    <w:tbl>
      <w:tblPr>
        <w:tblStyle w:val="2"/>
        <w:tblpPr w:leftFromText="180" w:rightFromText="180" w:topFromText="100" w:bottomFromText="100" w:vertAnchor="text" w:horzAnchor="margin" w:tblpY="938"/>
        <w:tblW w:w="85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69"/>
        <w:gridCol w:w="1154"/>
        <w:gridCol w:w="1153"/>
        <w:gridCol w:w="1135"/>
        <w:gridCol w:w="1461"/>
        <w:gridCol w:w="1153"/>
        <w:gridCol w:w="1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579"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cs="宋体"/>
                <w:color w:val="000000"/>
                <w:kern w:val="0"/>
                <w:sz w:val="18"/>
                <w:szCs w:val="18"/>
              </w:rPr>
              <w:t>高</w:t>
            </w:r>
            <w:r>
              <w:rPr>
                <w:rFonts w:hint="eastAsia" w:ascii="宋体" w:hAnsi="宋体" w:cs="宋体"/>
                <w:color w:val="000000"/>
                <w:kern w:val="0"/>
                <w:sz w:val="18"/>
                <w:szCs w:val="18"/>
              </w:rPr>
              <w:t xml:space="preserve">    </w:t>
            </w:r>
            <w:r>
              <w:rPr>
                <w:rFonts w:hint="eastAsia" w:cs="宋体"/>
                <w:color w:val="000000"/>
                <w:kern w:val="0"/>
                <w:sz w:val="18"/>
                <w:szCs w:val="18"/>
              </w:rPr>
              <w:t>职（专</w:t>
            </w:r>
            <w:r>
              <w:rPr>
                <w:rFonts w:hint="eastAsia" w:ascii="宋体" w:hAnsi="宋体" w:cs="宋体"/>
                <w:color w:val="000000"/>
                <w:kern w:val="0"/>
                <w:sz w:val="18"/>
                <w:szCs w:val="18"/>
              </w:rPr>
              <w:t xml:space="preserve">    </w:t>
            </w:r>
            <w:r>
              <w:rPr>
                <w:rFonts w:hint="eastAsia" w:cs="宋体"/>
                <w:color w:val="000000"/>
                <w:kern w:val="0"/>
                <w:sz w:val="18"/>
                <w:szCs w:val="18"/>
              </w:rPr>
              <w:t>科）</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具有高级职务教师占专任教师的比例（</w:t>
            </w:r>
            <w:r>
              <w:rPr>
                <w:rFonts w:hint="eastAsia" w:ascii="宋体" w:hAnsi="宋体" w:cs="宋体"/>
                <w:color w:val="000000"/>
                <w:kern w:val="0"/>
                <w:sz w:val="18"/>
                <w:szCs w:val="18"/>
              </w:rPr>
              <w:t>%</w:t>
            </w:r>
            <w:r>
              <w:rPr>
                <w:rFonts w:hint="eastAsia" w:cs="宋体"/>
                <w:color w:val="000000"/>
                <w:kern w:val="0"/>
                <w:sz w:val="18"/>
                <w:szCs w:val="18"/>
              </w:rPr>
              <w:t>）</w:t>
            </w:r>
            <w:r>
              <w:rPr>
                <w:rFonts w:hint="eastAsia" w:ascii="宋体" w:hAnsi="宋体" w:cs="宋体"/>
                <w:color w:val="000000"/>
                <w:kern w:val="0"/>
                <w:sz w:val="18"/>
                <w:szCs w:val="18"/>
              </w:rPr>
              <w:t xml:space="preserve"> </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生均</w:t>
            </w:r>
            <w:r>
              <w:rPr>
                <w:rFonts w:hint="eastAsia" w:ascii="宋体" w:hAnsi="宋体" w:cs="宋体"/>
                <w:color w:val="000000"/>
                <w:kern w:val="0"/>
                <w:sz w:val="18"/>
                <w:szCs w:val="18"/>
              </w:rPr>
              <w:t xml:space="preserve"> </w:t>
            </w:r>
            <w:r>
              <w:rPr>
                <w:rFonts w:hint="eastAsia" w:cs="宋体"/>
                <w:color w:val="000000"/>
                <w:kern w:val="0"/>
                <w:sz w:val="18"/>
                <w:szCs w:val="18"/>
              </w:rPr>
              <w:t>占地面积（平方米</w:t>
            </w:r>
            <w:r>
              <w:rPr>
                <w:rFonts w:hint="eastAsia" w:ascii="宋体" w:hAnsi="宋体" w:cs="宋体"/>
                <w:color w:val="000000"/>
                <w:kern w:val="0"/>
                <w:sz w:val="18"/>
                <w:szCs w:val="18"/>
              </w:rPr>
              <w:t>/</w:t>
            </w:r>
            <w:r>
              <w:rPr>
                <w:rFonts w:hint="eastAsia" w:cs="宋体"/>
                <w:color w:val="000000"/>
                <w:kern w:val="0"/>
                <w:sz w:val="18"/>
                <w:szCs w:val="18"/>
              </w:rPr>
              <w:t>生）</w:t>
            </w:r>
            <w:r>
              <w:rPr>
                <w:rFonts w:hint="eastAsia" w:ascii="宋体" w:hAnsi="宋体" w:cs="宋体"/>
                <w:color w:val="000000"/>
                <w:kern w:val="0"/>
                <w:sz w:val="18"/>
                <w:szCs w:val="18"/>
              </w:rPr>
              <w:t xml:space="preserve"> </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生均宿舍面积（平方米</w:t>
            </w:r>
            <w:r>
              <w:rPr>
                <w:rFonts w:hint="eastAsia" w:ascii="宋体" w:hAnsi="宋体" w:cs="宋体"/>
                <w:color w:val="000000"/>
                <w:kern w:val="0"/>
                <w:sz w:val="18"/>
                <w:szCs w:val="18"/>
              </w:rPr>
              <w:t>/</w:t>
            </w:r>
            <w:r>
              <w:rPr>
                <w:rFonts w:hint="eastAsia" w:cs="宋体"/>
                <w:color w:val="000000"/>
                <w:kern w:val="0"/>
                <w:sz w:val="18"/>
                <w:szCs w:val="18"/>
              </w:rPr>
              <w:t>生）</w:t>
            </w:r>
            <w:r>
              <w:rPr>
                <w:rFonts w:hint="eastAsia" w:ascii="宋体" w:hAnsi="宋体" w:cs="宋体"/>
                <w:color w:val="000000"/>
                <w:kern w:val="0"/>
                <w:sz w:val="18"/>
                <w:szCs w:val="18"/>
              </w:rPr>
              <w:t xml:space="preserve">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百名学生配教学用计算机台数（台）</w:t>
            </w:r>
            <w:r>
              <w:rPr>
                <w:rFonts w:hint="eastAsia" w:ascii="宋体" w:hAnsi="宋体" w:cs="宋体"/>
                <w:color w:val="000000"/>
                <w:kern w:val="0"/>
                <w:sz w:val="18"/>
                <w:szCs w:val="18"/>
              </w:rPr>
              <w:t xml:space="preserve"> </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百名学生配多媒体教室和语音实验室座位数（个）</w:t>
            </w:r>
            <w:r>
              <w:rPr>
                <w:rFonts w:hint="eastAsia" w:ascii="宋体" w:hAnsi="宋体" w:cs="宋体"/>
                <w:color w:val="000000"/>
                <w:kern w:val="0"/>
                <w:sz w:val="18"/>
                <w:szCs w:val="18"/>
              </w:rPr>
              <w:t xml:space="preserve"> </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000000"/>
                <w:kern w:val="0"/>
                <w:sz w:val="18"/>
                <w:szCs w:val="18"/>
              </w:rPr>
            </w:pPr>
            <w:r>
              <w:rPr>
                <w:rFonts w:hint="eastAsia" w:cs="宋体"/>
                <w:color w:val="000000"/>
                <w:kern w:val="0"/>
                <w:sz w:val="18"/>
                <w:szCs w:val="18"/>
              </w:rPr>
              <w:t>新增教学科研仪器设备所占比例（</w:t>
            </w:r>
            <w:r>
              <w:rPr>
                <w:rFonts w:hint="eastAsia" w:ascii="宋体" w:hAnsi="宋体" w:cs="宋体"/>
                <w:color w:val="000000"/>
                <w:kern w:val="0"/>
                <w:sz w:val="18"/>
                <w:szCs w:val="18"/>
              </w:rPr>
              <w:t>%</w:t>
            </w:r>
            <w:r>
              <w:rPr>
                <w:rFonts w:hint="eastAsia" w:cs="宋体"/>
                <w:color w:val="000000"/>
                <w:kern w:val="0"/>
                <w:sz w:val="18"/>
                <w:szCs w:val="18"/>
              </w:rPr>
              <w:t>）</w:t>
            </w:r>
            <w:r>
              <w:rPr>
                <w:rFonts w:hint="eastAsia" w:ascii="宋体" w:hAnsi="宋体" w:cs="宋体"/>
                <w:color w:val="000000"/>
                <w:kern w:val="0"/>
                <w:sz w:val="18"/>
                <w:szCs w:val="18"/>
              </w:rPr>
              <w:t xml:space="preserve"> </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jc w:val="center"/>
              <w:rPr>
                <w:rFonts w:ascii="宋体" w:hAnsi="宋体" w:cs="宋体"/>
                <w:color w:val="000000"/>
                <w:kern w:val="0"/>
                <w:sz w:val="18"/>
                <w:szCs w:val="18"/>
              </w:rPr>
            </w:pPr>
            <w:r>
              <w:rPr>
                <w:rFonts w:hint="eastAsia" w:cs="宋体"/>
                <w:color w:val="000000"/>
                <w:kern w:val="0"/>
                <w:sz w:val="18"/>
                <w:szCs w:val="18"/>
              </w:rPr>
              <w:t>生均</w:t>
            </w:r>
            <w:r>
              <w:rPr>
                <w:rFonts w:hint="eastAsia" w:ascii="宋体" w:hAnsi="宋体" w:cs="宋体"/>
                <w:color w:val="000000"/>
                <w:kern w:val="0"/>
                <w:sz w:val="18"/>
                <w:szCs w:val="18"/>
              </w:rPr>
              <w:t xml:space="preserve"> </w:t>
            </w:r>
            <w:r>
              <w:rPr>
                <w:rFonts w:hint="eastAsia" w:cs="宋体"/>
                <w:color w:val="000000"/>
                <w:kern w:val="0"/>
                <w:sz w:val="18"/>
                <w:szCs w:val="18"/>
              </w:rPr>
              <w:t>年进</w:t>
            </w:r>
            <w:r>
              <w:rPr>
                <w:rFonts w:hint="eastAsia" w:ascii="宋体" w:hAnsi="宋体" w:cs="宋体"/>
                <w:color w:val="000000"/>
                <w:kern w:val="0"/>
                <w:sz w:val="18"/>
                <w:szCs w:val="18"/>
              </w:rPr>
              <w:t xml:space="preserve"> </w:t>
            </w:r>
            <w:r>
              <w:rPr>
                <w:rFonts w:hint="eastAsia" w:cs="宋体"/>
                <w:color w:val="000000"/>
                <w:kern w:val="0"/>
                <w:sz w:val="18"/>
                <w:szCs w:val="18"/>
              </w:rPr>
              <w:t>书量（册）</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hint="eastAsia" w:cs="宋体"/>
                <w:color w:val="000000"/>
                <w:kern w:val="0"/>
                <w:sz w:val="18"/>
                <w:szCs w:val="18"/>
              </w:rPr>
              <w:t>．</w:t>
            </w:r>
            <w:r>
              <w:rPr>
                <w:rFonts w:hint="eastAsia" w:ascii="宋体" w:hAnsi="宋体" w:cs="宋体"/>
                <w:color w:val="000000"/>
                <w:kern w:val="0"/>
                <w:sz w:val="18"/>
                <w:szCs w:val="18"/>
              </w:rPr>
              <w:t>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hint="eastAsia" w:cs="宋体"/>
                <w:color w:val="000000"/>
                <w:kern w:val="0"/>
                <w:sz w:val="18"/>
                <w:szCs w:val="18"/>
              </w:rPr>
              <w:t>．</w:t>
            </w:r>
            <w:r>
              <w:rPr>
                <w:rFonts w:hint="eastAsia" w:ascii="宋体" w:hAnsi="宋体" w:cs="宋体"/>
                <w:color w:val="000000"/>
                <w:kern w:val="0"/>
                <w:sz w:val="18"/>
                <w:szCs w:val="18"/>
              </w:rPr>
              <w:t>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hint="eastAsia" w:cs="宋体"/>
                <w:color w:val="000000"/>
                <w:kern w:val="0"/>
                <w:sz w:val="18"/>
                <w:szCs w:val="18"/>
              </w:rPr>
              <w:t>．</w:t>
            </w:r>
            <w:r>
              <w:rPr>
                <w:rFonts w:hint="eastAsia" w:ascii="宋体" w:hAnsi="宋体" w:cs="宋体"/>
                <w:color w:val="000000"/>
                <w:kern w:val="0"/>
                <w:sz w:val="18"/>
                <w:szCs w:val="18"/>
              </w:rPr>
              <w:t>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hint="eastAsia" w:cs="宋体"/>
                <w:color w:val="000000"/>
                <w:kern w:val="0"/>
                <w:sz w:val="18"/>
                <w:szCs w:val="18"/>
              </w:rPr>
              <w:t>．</w:t>
            </w:r>
            <w:r>
              <w:rPr>
                <w:rFonts w:hint="eastAsia" w:ascii="宋体" w:hAnsi="宋体" w:cs="宋体"/>
                <w:color w:val="000000"/>
                <w:kern w:val="0"/>
                <w:sz w:val="18"/>
                <w:szCs w:val="18"/>
              </w:rPr>
              <w:t>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hint="eastAsia" w:cs="宋体"/>
                <w:color w:val="000000"/>
                <w:kern w:val="0"/>
                <w:sz w:val="18"/>
                <w:szCs w:val="18"/>
              </w:rPr>
              <w:t>．</w:t>
            </w:r>
            <w:r>
              <w:rPr>
                <w:rFonts w:hint="eastAsia" w:ascii="宋体" w:hAnsi="宋体" w:cs="宋体"/>
                <w:color w:val="000000"/>
                <w:kern w:val="0"/>
                <w:sz w:val="18"/>
                <w:szCs w:val="18"/>
              </w:rPr>
              <w:t>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r>
    </w:tbl>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１．凡教学仪器设备总值超过1亿元的高校，当年新增教学仪器设备值超过1000万元，该项指标即为合格。</w:t>
      </w:r>
    </w:p>
    <w:p>
      <w:pPr>
        <w:widowControl/>
        <w:spacing w:line="360" w:lineRule="auto"/>
        <w:rPr>
          <w:rFonts w:hint="eastAsia" w:ascii="宋体" w:hAnsi="宋体" w:cs="宋体"/>
          <w:b/>
          <w:bCs/>
          <w:color w:val="000000"/>
          <w:kern w:val="0"/>
          <w:sz w:val="28"/>
          <w:szCs w:val="28"/>
        </w:rPr>
      </w:pPr>
      <w:r>
        <w:rPr>
          <w:rFonts w:hint="eastAsia" w:ascii="宋体" w:hAnsi="宋体" w:cs="宋体"/>
          <w:color w:val="000000"/>
          <w:kern w:val="0"/>
          <w:sz w:val="20"/>
          <w:szCs w:val="20"/>
        </w:rPr>
        <w:t>２．凡折合在校生超过30000人的高校，当年进书量超过9万册，该项指标即为合格。</w:t>
      </w:r>
      <w:r>
        <w:rPr>
          <w:rFonts w:hint="eastAsia" w:ascii="宋体" w:hAnsi="宋体" w:cs="宋体"/>
          <w:b/>
          <w:bCs/>
          <w:color w:val="000000"/>
          <w:kern w:val="0"/>
          <w:sz w:val="28"/>
          <w:szCs w:val="28"/>
        </w:rPr>
        <w:t>　</w:t>
      </w:r>
    </w:p>
    <w:p>
      <w:pPr>
        <w:widowControl/>
        <w:spacing w:line="360" w:lineRule="auto"/>
        <w:ind w:firstLine="281" w:firstLineChars="100"/>
        <w:rPr>
          <w:rFonts w:hint="eastAsia" w:ascii="宋体" w:hAnsi="宋体" w:cs="宋体"/>
          <w:color w:val="000000"/>
          <w:kern w:val="0"/>
          <w:sz w:val="28"/>
          <w:szCs w:val="28"/>
        </w:rPr>
      </w:pPr>
      <w:r>
        <w:rPr>
          <w:rFonts w:hint="eastAsia" w:ascii="宋体" w:hAnsi="宋体" w:cs="宋体"/>
          <w:b/>
          <w:bCs/>
          <w:color w:val="000000"/>
          <w:kern w:val="0"/>
          <w:sz w:val="28"/>
          <w:szCs w:val="28"/>
        </w:rPr>
        <w:t>备注：办学条件指标测算办法</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折合在校生数=普通本、专科（高职）生数+硕士生数*1.5+博士生数*2+留学生数*3+预科生数+进修生数+成人脱产班学生数+夜大（业余）学生数*0.3+函授生数*0.1</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全日制在校生数=普通本、专科（高职）生数+研究生数+留学生数+预科生数+成人脱产班学生数+进修生数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教师总数=专任教师数+聘请校外教师数*0.5</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xml:space="preserve">１．生师比=折合在校生数/教师总数 </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２．具有研究生学位教师占专任教师的比例=具有研究生学位专任教师数/专任教师数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３．生均教学行政用房=（教学及辅助用房面积+行政办公用房面积）/全日制在校生数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４．生均教学科研仪器设备值=教学科研仪器设备资产总值/折合在校生数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xml:space="preserve">５．生均图书=图书总数/折合在校生数 </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６．具有高级职务教师占专任教师的比例=具有副高级以上职务的专任教师数/专任教师数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 xml:space="preserve">７．生均占地面积=占地面积/全日制在校生数 </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８．生均学生宿舍面积=学生宿舍面积/全日制在校生数</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９．百名学生配教学用计算机台数=（教学用计算机台数/全日制在校生数）*100</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10.百名学生配多媒体教室和语音实验室座位数=（多媒体教室和语音实验室座位数/全日制在校生数）*100</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11．新增教学科研仪器设备所占比例=当年新增教学科研仪器设备值/（教学科研仪器设备资产总值－当年新增教学科研仪器设备值）</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12．生均年进书量=当年新增图书量/折合在校生数</w:t>
      </w:r>
    </w:p>
    <w:p>
      <w:pPr>
        <w:widowControl/>
        <w:spacing w:line="360" w:lineRule="auto"/>
        <w:rPr>
          <w:rFonts w:hint="eastAsia" w:ascii="宋体" w:hAnsi="宋体" w:cs="宋体"/>
          <w:color w:val="000000"/>
          <w:kern w:val="0"/>
          <w:sz w:val="20"/>
          <w:szCs w:val="20"/>
        </w:rPr>
      </w:pP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bCs/>
          <w:color w:val="000000"/>
          <w:kern w:val="0"/>
          <w:sz w:val="24"/>
        </w:rPr>
        <w:t>说明：</w:t>
      </w:r>
    </w:p>
    <w:p>
      <w:pPr>
        <w:widowControl/>
        <w:spacing w:line="360" w:lineRule="auto"/>
        <w:rPr>
          <w:rFonts w:hint="eastAsia" w:ascii="宋体" w:hAnsi="宋体" w:cs="宋体"/>
          <w:color w:val="000000"/>
          <w:kern w:val="0"/>
          <w:sz w:val="20"/>
          <w:szCs w:val="20"/>
        </w:rPr>
      </w:pPr>
      <w:r>
        <w:rPr>
          <w:rFonts w:hint="eastAsia" w:ascii="宋体" w:hAnsi="宋体" w:cs="宋体"/>
          <w:color w:val="000000"/>
          <w:kern w:val="0"/>
          <w:sz w:val="20"/>
          <w:szCs w:val="20"/>
        </w:rPr>
        <w:t>１．进修生数指进修及培训时间在一年以上的学生数。</w:t>
      </w:r>
    </w:p>
    <w:p>
      <w:pPr>
        <w:widowControl/>
        <w:spacing w:line="360" w:lineRule="auto"/>
        <w:rPr>
          <w:rFonts w:hint="eastAsia"/>
        </w:rPr>
      </w:pPr>
      <w:r>
        <w:rPr>
          <w:rFonts w:hint="eastAsia" w:ascii="宋体" w:hAnsi="宋体" w:cs="宋体"/>
          <w:color w:val="000000"/>
          <w:kern w:val="0"/>
          <w:sz w:val="20"/>
          <w:szCs w:val="20"/>
        </w:rPr>
        <w:t>２．电子类图书、附属医院临床教学人员已在相关指标的定量中予以考虑，测算时均不包括在内。</w:t>
      </w:r>
    </w:p>
    <w:p>
      <w:pPr>
        <w:rPr>
          <w:rFonts w:hint="eastAsia" w:ascii="宋体" w:hAnsi="宋体" w:cs="宋体"/>
          <w:b/>
          <w:bCs/>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7036C"/>
    <w:rsid w:val="49E806FC"/>
    <w:rsid w:val="4CFE57D4"/>
    <w:rsid w:val="6DFD516E"/>
    <w:rsid w:val="77B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2020-10-12T01:09:00Z</dcterms:created>
  <dc:creator>思考快乐</dc:creator>
  <cp:lastModifiedBy>思考快乐</cp:lastModifiedBy>
  <dcterms:modified xsi:type="dcterms:W3CDTF">2020-10-12T01:45:32Z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